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827EC7" w14:textId="51CBBCAD" w:rsidR="007236C9" w:rsidRPr="007236C9" w:rsidRDefault="007236C9" w:rsidP="007236C9">
      <w:pPr>
        <w:widowControl w:val="0"/>
        <w:overflowPunct w:val="0"/>
        <w:autoSpaceDE w:val="0"/>
        <w:autoSpaceDN w:val="0"/>
        <w:adjustRightInd w:val="0"/>
        <w:spacing w:after="0" w:line="240" w:lineRule="auto"/>
        <w:textAlignment w:val="baseline"/>
        <w:rPr>
          <w:rFonts w:ascii="Arial" w:eastAsia="SimSun" w:hAnsi="Arial" w:cs="Arial"/>
          <w:b/>
          <w:sz w:val="24"/>
          <w:szCs w:val="24"/>
          <w:lang w:eastAsia="zh-CN"/>
        </w:rPr>
      </w:pPr>
      <w:r w:rsidRPr="007236C9">
        <w:rPr>
          <w:rFonts w:ascii="Arial" w:eastAsia="SimSun" w:hAnsi="Arial" w:cs="Arial"/>
          <w:b/>
          <w:sz w:val="24"/>
          <w:szCs w:val="24"/>
          <w:lang w:eastAsia="zh-CN"/>
        </w:rPr>
        <w:t>3GPP TSG RAN4 Meeting #11</w:t>
      </w:r>
      <w:r w:rsidR="00692DE2">
        <w:rPr>
          <w:rFonts w:ascii="Arial" w:eastAsia="SimSun" w:hAnsi="Arial" w:cs="Arial"/>
          <w:b/>
          <w:sz w:val="24"/>
          <w:szCs w:val="24"/>
          <w:lang w:eastAsia="zh-CN"/>
        </w:rPr>
        <w:t>7</w:t>
      </w:r>
      <w:r w:rsidR="00692DE2">
        <w:rPr>
          <w:rFonts w:ascii="Arial" w:eastAsia="SimSun" w:hAnsi="Arial" w:cs="Arial"/>
          <w:b/>
          <w:sz w:val="24"/>
          <w:szCs w:val="24"/>
          <w:lang w:eastAsia="zh-CN"/>
        </w:rPr>
        <w:tab/>
      </w:r>
      <w:r w:rsidRPr="007236C9">
        <w:rPr>
          <w:rFonts w:ascii="Arial" w:eastAsia="SimSun" w:hAnsi="Arial" w:cs="Arial"/>
          <w:b/>
          <w:sz w:val="24"/>
          <w:szCs w:val="24"/>
          <w:lang w:eastAsia="zh-CN"/>
        </w:rPr>
        <w:tab/>
      </w:r>
      <w:r w:rsidRPr="007236C9">
        <w:rPr>
          <w:rFonts w:ascii="Arial" w:eastAsia="SimSun" w:hAnsi="Arial" w:cs="Arial"/>
          <w:b/>
          <w:sz w:val="24"/>
          <w:szCs w:val="24"/>
          <w:lang w:eastAsia="zh-CN"/>
        </w:rPr>
        <w:tab/>
      </w:r>
      <w:r>
        <w:rPr>
          <w:rFonts w:ascii="Arial" w:eastAsia="SimSun" w:hAnsi="Arial" w:cs="Arial"/>
          <w:b/>
          <w:sz w:val="24"/>
          <w:szCs w:val="24"/>
          <w:lang w:eastAsia="zh-CN"/>
        </w:rPr>
        <w:tab/>
      </w:r>
      <w:r>
        <w:rPr>
          <w:rFonts w:ascii="Arial" w:eastAsia="SimSun" w:hAnsi="Arial" w:cs="Arial"/>
          <w:b/>
          <w:sz w:val="24"/>
          <w:szCs w:val="24"/>
          <w:lang w:eastAsia="zh-CN"/>
        </w:rPr>
        <w:tab/>
      </w:r>
      <w:r>
        <w:rPr>
          <w:rFonts w:ascii="Arial" w:eastAsia="SimSun" w:hAnsi="Arial" w:cs="Arial"/>
          <w:b/>
          <w:sz w:val="24"/>
          <w:szCs w:val="24"/>
          <w:lang w:eastAsia="zh-CN"/>
        </w:rPr>
        <w:tab/>
      </w:r>
      <w:r>
        <w:rPr>
          <w:rFonts w:ascii="Arial" w:eastAsia="SimSun" w:hAnsi="Arial" w:cs="Arial"/>
          <w:b/>
          <w:sz w:val="24"/>
          <w:szCs w:val="24"/>
          <w:lang w:eastAsia="zh-CN"/>
        </w:rPr>
        <w:tab/>
      </w:r>
      <w:r w:rsidR="00DB0F9C" w:rsidRPr="00DB0F9C">
        <w:rPr>
          <w:rFonts w:ascii="Arial" w:eastAsia="SimSun" w:hAnsi="Arial" w:cs="Arial"/>
          <w:b/>
          <w:sz w:val="24"/>
          <w:szCs w:val="24"/>
          <w:lang w:eastAsia="zh-CN"/>
        </w:rPr>
        <w:t>R4-2521594</w:t>
      </w:r>
    </w:p>
    <w:p w14:paraId="52CDCD23" w14:textId="3EF41990" w:rsidR="00841BCD" w:rsidRDefault="00692DE2" w:rsidP="007236C9">
      <w:pPr>
        <w:widowControl w:val="0"/>
        <w:overflowPunct w:val="0"/>
        <w:autoSpaceDE w:val="0"/>
        <w:autoSpaceDN w:val="0"/>
        <w:adjustRightInd w:val="0"/>
        <w:spacing w:after="0" w:line="240" w:lineRule="auto"/>
        <w:textAlignment w:val="baseline"/>
        <w:rPr>
          <w:rFonts w:ascii="Arial" w:eastAsia="SimSun" w:hAnsi="Arial" w:cs="Arial"/>
          <w:b/>
          <w:sz w:val="24"/>
          <w:szCs w:val="24"/>
          <w:lang w:eastAsia="zh-CN"/>
        </w:rPr>
      </w:pPr>
      <w:r>
        <w:rPr>
          <w:rFonts w:ascii="Arial" w:eastAsia="SimSun" w:hAnsi="Arial" w:cs="Arial"/>
          <w:b/>
          <w:sz w:val="24"/>
          <w:szCs w:val="24"/>
          <w:lang w:eastAsia="zh-CN"/>
        </w:rPr>
        <w:t>Dallas</w:t>
      </w:r>
      <w:r w:rsidR="007236C9" w:rsidRPr="007236C9">
        <w:rPr>
          <w:rFonts w:ascii="Arial" w:eastAsia="SimSun" w:hAnsi="Arial" w:cs="Arial"/>
          <w:b/>
          <w:sz w:val="24"/>
          <w:szCs w:val="24"/>
          <w:lang w:eastAsia="zh-CN"/>
        </w:rPr>
        <w:t xml:space="preserve">, </w:t>
      </w:r>
      <w:r>
        <w:rPr>
          <w:rFonts w:ascii="Arial" w:eastAsia="SimSun" w:hAnsi="Arial" w:cs="Arial"/>
          <w:b/>
          <w:sz w:val="24"/>
          <w:szCs w:val="24"/>
          <w:lang w:eastAsia="zh-CN"/>
        </w:rPr>
        <w:t>Texas US</w:t>
      </w:r>
      <w:r w:rsidR="007236C9" w:rsidRPr="007236C9">
        <w:rPr>
          <w:rFonts w:ascii="Arial" w:eastAsia="SimSun" w:hAnsi="Arial" w:cs="Arial"/>
          <w:b/>
          <w:sz w:val="24"/>
          <w:szCs w:val="24"/>
          <w:lang w:eastAsia="zh-CN"/>
        </w:rPr>
        <w:t>, 1</w:t>
      </w:r>
      <w:r>
        <w:rPr>
          <w:rFonts w:ascii="Arial" w:eastAsia="SimSun" w:hAnsi="Arial" w:cs="Arial"/>
          <w:b/>
          <w:sz w:val="24"/>
          <w:szCs w:val="24"/>
          <w:lang w:eastAsia="zh-CN"/>
        </w:rPr>
        <w:t>7</w:t>
      </w:r>
      <w:r w:rsidR="007236C9" w:rsidRPr="007236C9">
        <w:rPr>
          <w:rFonts w:ascii="Arial" w:eastAsia="SimSun" w:hAnsi="Arial" w:cs="Arial"/>
          <w:b/>
          <w:sz w:val="24"/>
          <w:szCs w:val="24"/>
          <w:lang w:eastAsia="zh-CN"/>
        </w:rPr>
        <w:t xml:space="preserve">th – </w:t>
      </w:r>
      <w:r>
        <w:rPr>
          <w:rFonts w:ascii="Arial" w:eastAsia="SimSun" w:hAnsi="Arial" w:cs="Arial"/>
          <w:b/>
          <w:sz w:val="24"/>
          <w:szCs w:val="24"/>
          <w:lang w:eastAsia="zh-CN"/>
        </w:rPr>
        <w:t>21st</w:t>
      </w:r>
      <w:r w:rsidR="007236C9" w:rsidRPr="007236C9">
        <w:rPr>
          <w:rFonts w:ascii="Arial" w:eastAsia="SimSun" w:hAnsi="Arial" w:cs="Arial"/>
          <w:b/>
          <w:sz w:val="24"/>
          <w:szCs w:val="24"/>
          <w:lang w:eastAsia="zh-CN"/>
        </w:rPr>
        <w:t xml:space="preserve"> </w:t>
      </w:r>
      <w:r>
        <w:rPr>
          <w:rFonts w:ascii="Arial" w:eastAsia="SimSun" w:hAnsi="Arial" w:cs="Arial"/>
          <w:b/>
          <w:sz w:val="24"/>
          <w:szCs w:val="24"/>
          <w:lang w:eastAsia="zh-CN"/>
        </w:rPr>
        <w:t>November</w:t>
      </w:r>
      <w:r w:rsidR="007236C9" w:rsidRPr="007236C9">
        <w:rPr>
          <w:rFonts w:ascii="Arial" w:eastAsia="SimSun" w:hAnsi="Arial" w:cs="Arial"/>
          <w:b/>
          <w:sz w:val="24"/>
          <w:szCs w:val="24"/>
          <w:lang w:eastAsia="zh-CN"/>
        </w:rPr>
        <w:t xml:space="preserve"> 2025</w:t>
      </w:r>
    </w:p>
    <w:p w14:paraId="16C1FC89" w14:textId="77777777" w:rsidR="007236C9" w:rsidRPr="00A46B46" w:rsidRDefault="007236C9" w:rsidP="007236C9">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3C439AC5" w14:textId="5D0B82C7" w:rsidR="00841BCD" w:rsidRPr="00614DD8" w:rsidRDefault="00841BCD" w:rsidP="00841BCD">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303B546B" w14:textId="5F8DD4D3" w:rsidR="002F70EB" w:rsidRDefault="00841BCD" w:rsidP="002F70EB">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187853" w:rsidRPr="00187853">
        <w:rPr>
          <w:rFonts w:ascii="Arial" w:eastAsia="Calibri" w:hAnsi="Arial" w:cs="Arial"/>
          <w:b/>
          <w:bCs/>
          <w:sz w:val="24"/>
          <w:lang w:val="en-US"/>
        </w:rPr>
        <w:t>6GR Considerations on Spectrum aspects</w:t>
      </w:r>
    </w:p>
    <w:p w14:paraId="641E8BEA" w14:textId="7E29117D" w:rsidR="00841BCD" w:rsidRPr="00614DD8" w:rsidRDefault="00841BCD" w:rsidP="002F70EB">
      <w:pPr>
        <w:ind w:left="1985" w:hanging="1985"/>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7236C9">
        <w:rPr>
          <w:rFonts w:ascii="Arial" w:eastAsia="MS Mincho" w:hAnsi="Arial" w:cs="Arial"/>
          <w:b/>
          <w:bCs/>
          <w:sz w:val="24"/>
          <w:szCs w:val="20"/>
          <w:lang w:val="en-US"/>
        </w:rPr>
        <w:t>8.</w:t>
      </w:r>
      <w:r w:rsidR="006E2C29">
        <w:rPr>
          <w:rFonts w:ascii="Arial" w:eastAsia="MS Mincho" w:hAnsi="Arial" w:cs="Arial"/>
          <w:b/>
          <w:bCs/>
          <w:sz w:val="24"/>
          <w:szCs w:val="20"/>
          <w:lang w:val="en-US"/>
        </w:rPr>
        <w:t>5</w:t>
      </w:r>
    </w:p>
    <w:p w14:paraId="07144160" w14:textId="61D5DB86" w:rsidR="00D66188" w:rsidRPr="00614DD8" w:rsidRDefault="00841BCD" w:rsidP="00841BCD">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7236C9" w:rsidRPr="00596B96">
        <w:rPr>
          <w:rFonts w:ascii="Arial" w:hAnsi="Arial" w:cs="Arial"/>
          <w:b/>
          <w:bCs/>
          <w:sz w:val="24"/>
        </w:rPr>
        <w:t>Approval</w:t>
      </w:r>
    </w:p>
    <w:p w14:paraId="7B15C003" w14:textId="77777777" w:rsidR="00841BCD" w:rsidRDefault="00841BCD" w:rsidP="003D5D44">
      <w:pPr>
        <w:pStyle w:val="RAN4H1"/>
      </w:pPr>
      <w:bookmarkStart w:id="0" w:name="_Toc116995841"/>
      <w:r w:rsidRPr="00614DD8">
        <w:t>Intro</w:t>
      </w:r>
      <w:r w:rsidRPr="00614DD8">
        <w:rPr>
          <w:rStyle w:val="RAN4H1Char"/>
        </w:rPr>
        <w:t>ductio</w:t>
      </w:r>
      <w:r w:rsidRPr="00614DD8">
        <w:t>n</w:t>
      </w:r>
      <w:bookmarkEnd w:id="0"/>
    </w:p>
    <w:p w14:paraId="3C71813B" w14:textId="6B905636" w:rsidR="00DB470B" w:rsidRPr="007D33ED" w:rsidRDefault="00DB470B" w:rsidP="00DB470B">
      <w:r>
        <w:t xml:space="preserve">In the current </w:t>
      </w:r>
      <w:r w:rsidR="006149A2">
        <w:t xml:space="preserve">SID for </w:t>
      </w:r>
      <w:r w:rsidRPr="00E60E70">
        <w:t>Study on 6G Radio</w:t>
      </w:r>
      <w:r>
        <w:t xml:space="preserve"> [1] the following topics are listed under 6GR</w:t>
      </w:r>
      <w:r w:rsidR="00613737">
        <w:t xml:space="preserve">, with the </w:t>
      </w:r>
      <w:r w:rsidR="00134947">
        <w:t>points in bold being relevant for this discussion</w:t>
      </w:r>
      <w:r>
        <w:t xml:space="preserve">. </w:t>
      </w:r>
    </w:p>
    <w:tbl>
      <w:tblPr>
        <w:tblStyle w:val="TableGrid"/>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2"/>
      </w:tblGrid>
      <w:tr w:rsidR="00DB470B" w14:paraId="2053C355" w14:textId="77777777" w:rsidTr="00B61A31">
        <w:trPr>
          <w:trHeight w:val="7815"/>
        </w:trPr>
        <w:tc>
          <w:tcPr>
            <w:tcW w:w="10195" w:type="dxa"/>
          </w:tcPr>
          <w:p w14:paraId="43642AB2" w14:textId="77777777" w:rsidR="005A7286" w:rsidRPr="005A7286" w:rsidRDefault="005A7286" w:rsidP="005A7286">
            <w:pPr>
              <w:overflowPunct w:val="0"/>
              <w:autoSpaceDE w:val="0"/>
              <w:autoSpaceDN w:val="0"/>
              <w:adjustRightInd w:val="0"/>
              <w:spacing w:after="180"/>
              <w:ind w:left="131"/>
              <w:textAlignment w:val="baseline"/>
              <w:rPr>
                <w:rFonts w:eastAsia="MS Mincho" w:cs="Times New Roman"/>
                <w:color w:val="000000"/>
                <w:szCs w:val="20"/>
                <w:lang w:eastAsia="en-GB"/>
              </w:rPr>
            </w:pPr>
            <w:r w:rsidRPr="005A7286">
              <w:rPr>
                <w:rFonts w:eastAsia="MS Mincho" w:cs="Times New Roman"/>
                <w:color w:val="000000"/>
                <w:szCs w:val="20"/>
                <w:lang w:eastAsia="en-GB"/>
              </w:rPr>
              <w:t>The study aims to develop one non-backward compatible radio access technology (hereafter “6GR”) to meet a broad range of use cases, and requirements as defined during the RAN requirements study [TR</w:t>
            </w:r>
            <w:r w:rsidRPr="005A7286">
              <w:rPr>
                <w:rFonts w:eastAsia="MS Mincho" w:cs="Times New Roman" w:hint="eastAsia"/>
                <w:color w:val="000000"/>
                <w:szCs w:val="20"/>
                <w:lang w:eastAsia="ja-JP"/>
              </w:rPr>
              <w:t>38.914</w:t>
            </w:r>
            <w:r w:rsidRPr="005A7286">
              <w:rPr>
                <w:rFonts w:eastAsia="MS Mincho" w:cs="Times New Roman"/>
                <w:color w:val="000000"/>
                <w:szCs w:val="20"/>
                <w:lang w:eastAsia="en-GB"/>
              </w:rPr>
              <w:t>].</w:t>
            </w:r>
          </w:p>
          <w:p w14:paraId="08B0926B" w14:textId="0BF54959" w:rsidR="005A7286" w:rsidRPr="005A7286" w:rsidRDefault="006336A9" w:rsidP="005A7286">
            <w:pPr>
              <w:keepLines/>
              <w:overflowPunct w:val="0"/>
              <w:autoSpaceDE w:val="0"/>
              <w:autoSpaceDN w:val="0"/>
              <w:adjustRightInd w:val="0"/>
              <w:spacing w:after="180"/>
              <w:ind w:left="1135" w:hanging="851"/>
              <w:textAlignment w:val="baseline"/>
              <w:rPr>
                <w:rFonts w:eastAsia="MS Mincho" w:cs="Times New Roman"/>
                <w:color w:val="000000"/>
                <w:szCs w:val="20"/>
                <w:lang w:eastAsia="en-GB"/>
              </w:rPr>
            </w:pPr>
            <w:r>
              <w:rPr>
                <w:rFonts w:eastAsia="MS Mincho" w:cs="Times New Roman"/>
                <w:color w:val="000000"/>
                <w:szCs w:val="20"/>
                <w:lang w:eastAsia="en-GB"/>
              </w:rPr>
              <w:t xml:space="preserve">  </w:t>
            </w:r>
            <w:r w:rsidR="00C74031">
              <w:rPr>
                <w:rFonts w:eastAsia="MS Mincho" w:cs="Times New Roman"/>
                <w:color w:val="000000"/>
                <w:szCs w:val="20"/>
                <w:lang w:eastAsia="en-GB"/>
              </w:rPr>
              <w:t>---</w:t>
            </w:r>
            <w:r w:rsidR="00C74031">
              <w:rPr>
                <w:color w:val="000000" w:themeColor="text1"/>
              </w:rPr>
              <w:t xml:space="preserve">                   ---                   ---                   ---                   ---                   ---                   ---                   ---</w:t>
            </w:r>
          </w:p>
          <w:p w14:paraId="78EDCE70" w14:textId="77777777" w:rsidR="005A7286" w:rsidRPr="005A7286" w:rsidRDefault="005A7286" w:rsidP="005A7286">
            <w:pPr>
              <w:overflowPunct w:val="0"/>
              <w:autoSpaceDE w:val="0"/>
              <w:autoSpaceDN w:val="0"/>
              <w:adjustRightInd w:val="0"/>
              <w:spacing w:after="180"/>
              <w:ind w:left="131"/>
              <w:textAlignment w:val="baseline"/>
              <w:rPr>
                <w:rFonts w:eastAsia="MS Mincho" w:cs="Times New Roman"/>
                <w:b/>
                <w:bCs/>
                <w:color w:val="000000"/>
                <w:szCs w:val="20"/>
                <w:lang w:eastAsia="en-GB"/>
              </w:rPr>
            </w:pPr>
            <w:r w:rsidRPr="005A7286">
              <w:rPr>
                <w:rFonts w:eastAsia="MS Mincho" w:cs="Times New Roman"/>
                <w:b/>
                <w:bCs/>
                <w:color w:val="000000"/>
                <w:szCs w:val="20"/>
                <w:lang w:eastAsia="en-GB"/>
              </w:rPr>
              <w:t xml:space="preserve">From a technology perspective, the study will address frequency ranges up to 52.6GHz, including at least the full range of FR1 (up to 7.125GHz), the range between FR1 and FR2-1 (including around ~7GHz), and FR2-1 (24.25 GHz – 52.6GHz). </w:t>
            </w:r>
          </w:p>
          <w:p w14:paraId="56158809" w14:textId="77777777" w:rsidR="005A7286" w:rsidRPr="005A7286" w:rsidRDefault="005A7286" w:rsidP="005A7286">
            <w:pPr>
              <w:keepLines/>
              <w:overflowPunct w:val="0"/>
              <w:autoSpaceDE w:val="0"/>
              <w:autoSpaceDN w:val="0"/>
              <w:adjustRightInd w:val="0"/>
              <w:spacing w:after="180"/>
              <w:ind w:left="1135" w:hanging="851"/>
              <w:textAlignment w:val="baseline"/>
              <w:rPr>
                <w:rFonts w:eastAsia="MS Mincho" w:cs="Times New Roman"/>
                <w:b/>
                <w:bCs/>
                <w:color w:val="000000"/>
                <w:szCs w:val="20"/>
                <w:lang w:eastAsia="en-GB"/>
              </w:rPr>
            </w:pPr>
            <w:r w:rsidRPr="005A7286">
              <w:rPr>
                <w:rFonts w:eastAsia="MS Mincho" w:cs="Times New Roman"/>
                <w:b/>
                <w:bCs/>
                <w:color w:val="000000"/>
                <w:szCs w:val="20"/>
                <w:lang w:eastAsia="en-GB"/>
              </w:rPr>
              <w:t>NOTE: TR 38.921, TR 38.922 will be taken into account.</w:t>
            </w:r>
          </w:p>
          <w:p w14:paraId="1310AA19" w14:textId="77777777" w:rsidR="005A7286" w:rsidRPr="005A7286" w:rsidRDefault="005A7286" w:rsidP="005A7286">
            <w:pPr>
              <w:overflowPunct w:val="0"/>
              <w:autoSpaceDE w:val="0"/>
              <w:autoSpaceDN w:val="0"/>
              <w:adjustRightInd w:val="0"/>
              <w:spacing w:after="180"/>
              <w:ind w:firstLine="284"/>
              <w:textAlignment w:val="baseline"/>
              <w:rPr>
                <w:rFonts w:eastAsia="MS Mincho" w:cs="Times New Roman"/>
                <w:b/>
                <w:bCs/>
                <w:color w:val="000000"/>
                <w:szCs w:val="20"/>
                <w:lang w:eastAsia="en-GB"/>
              </w:rPr>
            </w:pPr>
            <w:r w:rsidRPr="005A7286">
              <w:rPr>
                <w:rFonts w:eastAsia="MS Mincho" w:cs="Times New Roman"/>
                <w:b/>
                <w:bCs/>
                <w:color w:val="000000"/>
                <w:szCs w:val="20"/>
                <w:lang w:eastAsia="en-GB"/>
              </w:rPr>
              <w:t>NOTE: Frequency ranges beyond 52.6 GHz are not in scope of the work.</w:t>
            </w:r>
          </w:p>
          <w:p w14:paraId="7970F10C" w14:textId="17C3ECCA" w:rsidR="004130B9" w:rsidRPr="008C50E5" w:rsidRDefault="004130B9" w:rsidP="004130B9">
            <w:pPr>
              <w:overflowPunct w:val="0"/>
              <w:autoSpaceDE w:val="0"/>
              <w:autoSpaceDN w:val="0"/>
              <w:adjustRightInd w:val="0"/>
              <w:spacing w:after="120"/>
              <w:textAlignment w:val="baseline"/>
              <w:rPr>
                <w:color w:val="000000" w:themeColor="text1"/>
              </w:rPr>
            </w:pPr>
            <w:r>
              <w:rPr>
                <w:color w:val="000000" w:themeColor="text1"/>
              </w:rPr>
              <w:t xml:space="preserve">       </w:t>
            </w:r>
            <w:r w:rsidR="00C74031">
              <w:rPr>
                <w:color w:val="000000" w:themeColor="text1"/>
              </w:rPr>
              <w:t xml:space="preserve">---                   ---                   ---                   ---                   ---                   ---                   ---                   ---                 </w:t>
            </w:r>
          </w:p>
          <w:p w14:paraId="40F70D6B" w14:textId="43A02670" w:rsidR="00670878" w:rsidRPr="00934C60" w:rsidRDefault="00670878" w:rsidP="005B500F">
            <w:pPr>
              <w:pStyle w:val="ListParagraph"/>
              <w:numPr>
                <w:ilvl w:val="0"/>
                <w:numId w:val="43"/>
              </w:numPr>
              <w:overflowPunct w:val="0"/>
              <w:autoSpaceDE w:val="0"/>
              <w:autoSpaceDN w:val="0"/>
              <w:adjustRightInd w:val="0"/>
              <w:spacing w:after="120"/>
              <w:textAlignment w:val="baseline"/>
              <w:rPr>
                <w:color w:val="000000" w:themeColor="text1"/>
              </w:rPr>
            </w:pPr>
            <w:r w:rsidRPr="00B61A31">
              <w:rPr>
                <w:b/>
                <w:bCs/>
                <w:color w:val="000000" w:themeColor="text1"/>
              </w:rPr>
              <w:t>6GR core</w:t>
            </w:r>
            <w:r w:rsidRPr="00934C60">
              <w:rPr>
                <w:color w:val="000000" w:themeColor="text1"/>
              </w:rPr>
              <w:t xml:space="preserve"> and performance requirements </w:t>
            </w:r>
          </w:p>
          <w:p w14:paraId="60CA8E25" w14:textId="77777777" w:rsidR="00670878" w:rsidRPr="00934C60" w:rsidRDefault="00670878" w:rsidP="00670878">
            <w:pPr>
              <w:pStyle w:val="ListParagraph"/>
              <w:numPr>
                <w:ilvl w:val="0"/>
                <w:numId w:val="13"/>
              </w:numPr>
              <w:overflowPunct w:val="0"/>
              <w:autoSpaceDE w:val="0"/>
              <w:autoSpaceDN w:val="0"/>
              <w:adjustRightInd w:val="0"/>
              <w:spacing w:after="120"/>
              <w:textAlignment w:val="baseline"/>
              <w:rPr>
                <w:color w:val="000000" w:themeColor="text1"/>
              </w:rPr>
            </w:pPr>
            <w:r w:rsidRPr="00934C60">
              <w:rPr>
                <w:color w:val="000000" w:themeColor="text1"/>
              </w:rPr>
              <w:t>General RF aspects [RAN4]</w:t>
            </w:r>
          </w:p>
          <w:p w14:paraId="55BC1E32" w14:textId="77777777" w:rsidR="00670878" w:rsidRPr="00934C60" w:rsidRDefault="00670878" w:rsidP="00670878">
            <w:pPr>
              <w:pStyle w:val="ListParagraph"/>
              <w:numPr>
                <w:ilvl w:val="2"/>
                <w:numId w:val="12"/>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Intra-3GPP co-existence studies</w:t>
            </w:r>
          </w:p>
          <w:p w14:paraId="2CDF4E90" w14:textId="77777777" w:rsidR="00670878" w:rsidRPr="00934C60" w:rsidRDefault="00670878" w:rsidP="00670878">
            <w:pPr>
              <w:pStyle w:val="ListParagraph"/>
              <w:numPr>
                <w:ilvl w:val="2"/>
                <w:numId w:val="12"/>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Study RF related system parameters and requirements</w:t>
            </w:r>
          </w:p>
          <w:p w14:paraId="0DD5C175" w14:textId="77777777" w:rsidR="00670878" w:rsidRPr="00934C60" w:rsidRDefault="00670878" w:rsidP="00670878">
            <w:pPr>
              <w:pStyle w:val="ListParagraph"/>
              <w:numPr>
                <w:ilvl w:val="0"/>
                <w:numId w:val="13"/>
              </w:numPr>
              <w:overflowPunct w:val="0"/>
              <w:autoSpaceDE w:val="0"/>
              <w:autoSpaceDN w:val="0"/>
              <w:adjustRightInd w:val="0"/>
              <w:spacing w:after="120"/>
              <w:textAlignment w:val="baseline"/>
              <w:rPr>
                <w:color w:val="000000" w:themeColor="text1"/>
              </w:rPr>
            </w:pPr>
            <w:r w:rsidRPr="00934C60">
              <w:rPr>
                <w:color w:val="000000" w:themeColor="text1"/>
              </w:rPr>
              <w:t xml:space="preserve">BS RF requirement aspects including </w:t>
            </w:r>
            <w:r w:rsidRPr="0098538A">
              <w:rPr>
                <w:b/>
                <w:bCs/>
                <w:color w:val="000000" w:themeColor="text1"/>
              </w:rPr>
              <w:t>band</w:t>
            </w:r>
            <w:r w:rsidRPr="00934C60">
              <w:rPr>
                <w:color w:val="000000" w:themeColor="text1"/>
              </w:rPr>
              <w:t xml:space="preserve"> [RAN4]</w:t>
            </w:r>
          </w:p>
          <w:p w14:paraId="5C6B627E" w14:textId="77777777" w:rsidR="00670878" w:rsidRPr="00934C60" w:rsidRDefault="00670878" w:rsidP="00670878">
            <w:pPr>
              <w:pStyle w:val="ListParagraph"/>
              <w:numPr>
                <w:ilvl w:val="2"/>
                <w:numId w:val="12"/>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BS RF requirement and testing framework aiming at improvements and/or simplification compared to 5G NR, including MSR and AAS operation</w:t>
            </w:r>
          </w:p>
          <w:p w14:paraId="1EAE766F" w14:textId="77777777" w:rsidR="00670878" w:rsidRPr="00934C60" w:rsidRDefault="00670878" w:rsidP="00670878">
            <w:pPr>
              <w:pStyle w:val="ListParagraph"/>
              <w:numPr>
                <w:ilvl w:val="2"/>
                <w:numId w:val="12"/>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 xml:space="preserve">Study how to improve </w:t>
            </w:r>
            <w:r w:rsidRPr="0098538A">
              <w:rPr>
                <w:b/>
                <w:bCs/>
                <w:color w:val="000000" w:themeColor="text1"/>
              </w:rPr>
              <w:t>6G BS core</w:t>
            </w:r>
            <w:r w:rsidRPr="00934C60">
              <w:rPr>
                <w:color w:val="000000" w:themeColor="text1"/>
              </w:rPr>
              <w:t xml:space="preserve">,  conformance specifications, including structure and </w:t>
            </w:r>
            <w:r w:rsidRPr="0098538A">
              <w:rPr>
                <w:b/>
                <w:bCs/>
                <w:color w:val="000000" w:themeColor="text1"/>
              </w:rPr>
              <w:t>drafting principles</w:t>
            </w:r>
            <w:r w:rsidRPr="00934C60">
              <w:rPr>
                <w:color w:val="000000" w:themeColor="text1"/>
              </w:rPr>
              <w:t xml:space="preserve"> </w:t>
            </w:r>
          </w:p>
          <w:p w14:paraId="26024110" w14:textId="77777777" w:rsidR="00670878" w:rsidRPr="00910A15" w:rsidRDefault="00670878" w:rsidP="00670878">
            <w:pPr>
              <w:pStyle w:val="ListParagraph"/>
              <w:numPr>
                <w:ilvl w:val="0"/>
                <w:numId w:val="13"/>
              </w:numPr>
              <w:overflowPunct w:val="0"/>
              <w:autoSpaceDE w:val="0"/>
              <w:autoSpaceDN w:val="0"/>
              <w:adjustRightInd w:val="0"/>
              <w:spacing w:after="120"/>
              <w:textAlignment w:val="baseline"/>
              <w:rPr>
                <w:color w:val="000000" w:themeColor="text1"/>
              </w:rPr>
            </w:pPr>
            <w:r w:rsidRPr="00910A15">
              <w:rPr>
                <w:color w:val="000000" w:themeColor="text1"/>
              </w:rPr>
              <w:t xml:space="preserve">UE RF requirement aspects including </w:t>
            </w:r>
            <w:r w:rsidRPr="00432D4C">
              <w:rPr>
                <w:b/>
                <w:bCs/>
                <w:color w:val="000000" w:themeColor="text1"/>
              </w:rPr>
              <w:t>band and band combination</w:t>
            </w:r>
            <w:r w:rsidRPr="00910A15">
              <w:rPr>
                <w:color w:val="000000" w:themeColor="text1"/>
              </w:rPr>
              <w:t xml:space="preserve"> [RAN4]</w:t>
            </w:r>
          </w:p>
          <w:p w14:paraId="3F86DA41" w14:textId="77777777" w:rsidR="00670878" w:rsidRPr="00910A15" w:rsidRDefault="00670878" w:rsidP="00670878">
            <w:pPr>
              <w:pStyle w:val="ListParagraph"/>
              <w:numPr>
                <w:ilvl w:val="2"/>
                <w:numId w:val="12"/>
              </w:numPr>
              <w:overflowPunct w:val="0"/>
              <w:autoSpaceDE w:val="0"/>
              <w:autoSpaceDN w:val="0"/>
              <w:adjustRightInd w:val="0"/>
              <w:spacing w:after="120"/>
              <w:ind w:left="1843" w:hanging="288"/>
              <w:textAlignment w:val="baseline"/>
              <w:rPr>
                <w:color w:val="000000" w:themeColor="text1"/>
              </w:rPr>
            </w:pPr>
            <w:r w:rsidRPr="00910A15">
              <w:rPr>
                <w:color w:val="000000" w:themeColor="text1"/>
              </w:rPr>
              <w:t>UE RF requirement framework aiming at improvements and/or simplification compared to 5G NR</w:t>
            </w:r>
          </w:p>
          <w:p w14:paraId="336FC87B" w14:textId="77777777" w:rsidR="00670878" w:rsidRPr="00934C60" w:rsidRDefault="00670878" w:rsidP="00670878">
            <w:pPr>
              <w:pStyle w:val="ListParagraph"/>
              <w:numPr>
                <w:ilvl w:val="2"/>
                <w:numId w:val="12"/>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 xml:space="preserve">Study how to improve </w:t>
            </w:r>
            <w:r w:rsidRPr="0098538A">
              <w:rPr>
                <w:b/>
                <w:bCs/>
                <w:color w:val="000000" w:themeColor="text1"/>
              </w:rPr>
              <w:t>6G UE RF specification</w:t>
            </w:r>
            <w:r w:rsidRPr="00934C60">
              <w:rPr>
                <w:color w:val="000000" w:themeColor="text1"/>
              </w:rPr>
              <w:t xml:space="preserve">(s), including structure, </w:t>
            </w:r>
            <w:r w:rsidRPr="00432D4C">
              <w:rPr>
                <w:b/>
                <w:bCs/>
                <w:color w:val="000000" w:themeColor="text1"/>
              </w:rPr>
              <w:t>drafting principles</w:t>
            </w:r>
            <w:r w:rsidRPr="00934C60">
              <w:rPr>
                <w:color w:val="000000" w:themeColor="text1"/>
              </w:rPr>
              <w:t xml:space="preserve">, and database for band combination </w:t>
            </w:r>
          </w:p>
          <w:p w14:paraId="626ADA7E" w14:textId="77777777" w:rsidR="00670878" w:rsidRPr="00934C60" w:rsidRDefault="00670878" w:rsidP="00670878">
            <w:pPr>
              <w:pStyle w:val="ListParagraph"/>
              <w:numPr>
                <w:ilvl w:val="2"/>
                <w:numId w:val="12"/>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Study UE RF capabilities considering different device types and implementations</w:t>
            </w:r>
          </w:p>
          <w:p w14:paraId="5CB7234C" w14:textId="42D2F342" w:rsidR="008C50E5" w:rsidRPr="008C50E5" w:rsidRDefault="00886551" w:rsidP="008C50E5">
            <w:pPr>
              <w:overflowPunct w:val="0"/>
              <w:autoSpaceDE w:val="0"/>
              <w:autoSpaceDN w:val="0"/>
              <w:adjustRightInd w:val="0"/>
              <w:spacing w:after="120"/>
              <w:textAlignment w:val="baseline"/>
              <w:rPr>
                <w:color w:val="000000" w:themeColor="text1"/>
              </w:rPr>
            </w:pPr>
            <w:r>
              <w:rPr>
                <w:color w:val="000000" w:themeColor="text1"/>
              </w:rPr>
              <w:t xml:space="preserve">      </w:t>
            </w:r>
            <w:r w:rsidR="005C7EE8">
              <w:rPr>
                <w:color w:val="000000" w:themeColor="text1"/>
              </w:rPr>
              <w:t>---                   ---                   ---                   ---                   ---                   ---                   ---                   ---</w:t>
            </w:r>
          </w:p>
          <w:p w14:paraId="2DC70839" w14:textId="77777777" w:rsidR="00670878" w:rsidRPr="00934C60" w:rsidRDefault="00670878" w:rsidP="00886551">
            <w:pPr>
              <w:pStyle w:val="ListParagraph"/>
              <w:numPr>
                <w:ilvl w:val="0"/>
                <w:numId w:val="44"/>
              </w:numPr>
              <w:overflowPunct w:val="0"/>
              <w:autoSpaceDE w:val="0"/>
              <w:autoSpaceDN w:val="0"/>
              <w:adjustRightInd w:val="0"/>
              <w:spacing w:after="120"/>
              <w:textAlignment w:val="baseline"/>
              <w:rPr>
                <w:color w:val="000000" w:themeColor="text1"/>
              </w:rPr>
            </w:pPr>
            <w:r w:rsidRPr="00934C60">
              <w:rPr>
                <w:color w:val="000000" w:themeColor="text1"/>
              </w:rPr>
              <w:t>Other aspects</w:t>
            </w:r>
          </w:p>
          <w:p w14:paraId="47934C3F" w14:textId="77777777" w:rsidR="00670878" w:rsidRPr="00934C60" w:rsidRDefault="00670878" w:rsidP="00670878">
            <w:pPr>
              <w:pStyle w:val="ListParagraph"/>
              <w:numPr>
                <w:ilvl w:val="2"/>
                <w:numId w:val="12"/>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 xml:space="preserve">Handling </w:t>
            </w:r>
            <w:r w:rsidRPr="00934C60">
              <w:rPr>
                <w:color w:val="000000" w:themeColor="text1"/>
                <w:lang w:eastAsia="ja-JP"/>
              </w:rPr>
              <w:t>irregular</w:t>
            </w:r>
            <w:r w:rsidRPr="00934C60">
              <w:rPr>
                <w:color w:val="000000" w:themeColor="text1"/>
              </w:rPr>
              <w:t xml:space="preserve"> channel bandwidths </w:t>
            </w:r>
            <w:r w:rsidRPr="00934C60">
              <w:rPr>
                <w:rFonts w:hint="eastAsia"/>
                <w:color w:val="000000" w:themeColor="text1"/>
                <w:lang w:eastAsia="ja-JP"/>
              </w:rPr>
              <w:t>including the definition [RAN4, RAN1]</w:t>
            </w:r>
          </w:p>
          <w:p w14:paraId="04D2A6C0" w14:textId="1A8DDB1E" w:rsidR="00DB470B" w:rsidRPr="00B61A31" w:rsidRDefault="00670878" w:rsidP="00670878">
            <w:pPr>
              <w:pStyle w:val="ListParagraph"/>
              <w:numPr>
                <w:ilvl w:val="2"/>
                <w:numId w:val="12"/>
              </w:numPr>
              <w:overflowPunct w:val="0"/>
              <w:autoSpaceDE w:val="0"/>
              <w:autoSpaceDN w:val="0"/>
              <w:adjustRightInd w:val="0"/>
              <w:spacing w:after="120"/>
              <w:ind w:left="1843" w:hanging="288"/>
              <w:textAlignment w:val="baseline"/>
              <w:rPr>
                <w:b/>
                <w:bCs/>
                <w:color w:val="000000" w:themeColor="text1"/>
              </w:rPr>
            </w:pPr>
            <w:r w:rsidRPr="00C84890">
              <w:rPr>
                <w:b/>
                <w:bCs/>
                <w:color w:val="000000" w:themeColor="text1"/>
              </w:rPr>
              <w:t>Definition of ‘frequency range(s)’</w:t>
            </w:r>
            <w:r w:rsidRPr="00C84890">
              <w:rPr>
                <w:rFonts w:hint="eastAsia"/>
                <w:b/>
                <w:bCs/>
                <w:color w:val="000000" w:themeColor="text1"/>
                <w:lang w:eastAsia="ja-JP"/>
              </w:rPr>
              <w:t>[RAN4]</w:t>
            </w:r>
          </w:p>
        </w:tc>
      </w:tr>
    </w:tbl>
    <w:p w14:paraId="48795478" w14:textId="77777777" w:rsidR="00DB470B" w:rsidRDefault="00DB470B" w:rsidP="00DB470B">
      <w:r>
        <w:rPr>
          <w:lang w:eastAsia="zh-CN"/>
        </w:rPr>
        <w:br/>
        <w:t xml:space="preserve">Furthermore, at </w:t>
      </w:r>
      <w:r>
        <w:t xml:space="preserve">RAN4#116 a plan for the 6G study in RAN4 was presented by the RAN4 chair as captured in [2]. One of the topics was “Spectrum” with a scope listed as: </w:t>
      </w:r>
    </w:p>
    <w:p w14:paraId="71AA4918" w14:textId="77777777" w:rsidR="00DB470B" w:rsidRDefault="00DB470B" w:rsidP="00DB470B">
      <w:pPr>
        <w:pStyle w:val="ListParagraph"/>
        <w:numPr>
          <w:ilvl w:val="0"/>
          <w:numId w:val="6"/>
        </w:numPr>
      </w:pPr>
      <w:r>
        <w:t>Band/band combination definition and simplification</w:t>
      </w:r>
    </w:p>
    <w:p w14:paraId="2CC32531" w14:textId="77777777" w:rsidR="00DB470B" w:rsidRDefault="00DB470B" w:rsidP="00DB470B">
      <w:pPr>
        <w:pStyle w:val="ListParagraph"/>
        <w:numPr>
          <w:ilvl w:val="0"/>
          <w:numId w:val="6"/>
        </w:numPr>
      </w:pPr>
      <w:r>
        <w:t>Definition of frequency ranges</w:t>
      </w:r>
    </w:p>
    <w:p w14:paraId="55768BDC" w14:textId="77777777" w:rsidR="00DB470B" w:rsidRDefault="00DB470B" w:rsidP="00DB470B">
      <w:pPr>
        <w:pStyle w:val="ListParagraph"/>
        <w:numPr>
          <w:ilvl w:val="0"/>
          <w:numId w:val="6"/>
        </w:numPr>
      </w:pPr>
      <w:r>
        <w:t>Spectrum related regulatory survey</w:t>
      </w:r>
    </w:p>
    <w:p w14:paraId="3FE06691" w14:textId="77777777" w:rsidR="00DB470B" w:rsidRDefault="00DB470B" w:rsidP="00DB470B">
      <w:r>
        <w:t>In this contribution we discuss our considerations on the item listed above.</w:t>
      </w:r>
    </w:p>
    <w:p w14:paraId="5E6E091D" w14:textId="44237591" w:rsidR="003B659E" w:rsidRDefault="00C03F64" w:rsidP="003D5D44">
      <w:pPr>
        <w:pStyle w:val="RAN4H1"/>
      </w:pPr>
      <w:r w:rsidRPr="003D5D44">
        <w:lastRenderedPageBreak/>
        <w:t>Discussion</w:t>
      </w:r>
    </w:p>
    <w:p w14:paraId="509F69F4" w14:textId="5500961B" w:rsidR="00C729F7" w:rsidRPr="003D5D44" w:rsidRDefault="00C729F7" w:rsidP="00C729F7">
      <w:pPr>
        <w:pStyle w:val="RAN4H2"/>
      </w:pPr>
      <w:r w:rsidRPr="003D5D44">
        <w:t>Definition of frequency ranges</w:t>
      </w:r>
    </w:p>
    <w:p w14:paraId="0EB09F85" w14:textId="77777777" w:rsidR="00C729F7" w:rsidRDefault="00C729F7" w:rsidP="00C729F7">
      <w:r>
        <w:t>During NR the concept of frequency ranges were introduced to the specifications to address/quantify the significantly different properties and thereby related requirements in the newly adopted so-called cm/mm-wave spectrum. As a result, RAN4 introduced frequency range 1 (FR1) for the “legacy” spectrum and frequency range 2 (FR2) for the new spectrum. As a result, NR separates the frequency ranges as shown from TS 38.101-1 in Table 2.1-1.</w:t>
      </w:r>
    </w:p>
    <w:p w14:paraId="28E457AE" w14:textId="77777777" w:rsidR="00C729F7" w:rsidRPr="008744BA" w:rsidRDefault="00C729F7" w:rsidP="00C729F7">
      <w:pPr>
        <w:jc w:val="center"/>
        <w:rPr>
          <w:b/>
          <w:bCs/>
        </w:rPr>
      </w:pPr>
      <w:r w:rsidRPr="008744BA">
        <w:rPr>
          <w:b/>
          <w:bCs/>
        </w:rPr>
        <w:t xml:space="preserve">Table </w:t>
      </w:r>
      <w:r>
        <w:rPr>
          <w:b/>
          <w:bCs/>
        </w:rPr>
        <w:t>2</w:t>
      </w:r>
      <w:r w:rsidRPr="008744BA">
        <w:rPr>
          <w:b/>
          <w:bCs/>
        </w:rPr>
        <w:t>.</w:t>
      </w:r>
      <w:r>
        <w:rPr>
          <w:b/>
          <w:bCs/>
        </w:rPr>
        <w:t>1</w:t>
      </w:r>
      <w:r w:rsidRPr="008744BA">
        <w:rPr>
          <w:b/>
          <w:bCs/>
        </w:rPr>
        <w:t xml:space="preserve">-1: </w:t>
      </w:r>
      <w:r w:rsidRPr="004F7363">
        <w:rPr>
          <w:b/>
          <w:bCs/>
        </w:rPr>
        <w:t xml:space="preserve">Definition of frequency ranges </w:t>
      </w:r>
      <w:r>
        <w:rPr>
          <w:b/>
          <w:bCs/>
        </w:rPr>
        <w:t>in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976"/>
        <w:gridCol w:w="2977"/>
      </w:tblGrid>
      <w:tr w:rsidR="00C729F7" w:rsidRPr="00A2470A" w14:paraId="6787F814" w14:textId="7777777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B04880C" w14:textId="77777777" w:rsidR="00C729F7" w:rsidRPr="0010515A" w:rsidRDefault="00C729F7">
            <w:pPr>
              <w:pStyle w:val="TAH"/>
              <w:rPr>
                <w:sz w:val="18"/>
                <w:szCs w:val="18"/>
                <w:lang w:eastAsia="en-GB"/>
              </w:rPr>
            </w:pPr>
            <w:r w:rsidRPr="0010515A">
              <w:rPr>
                <w:sz w:val="18"/>
                <w:szCs w:val="18"/>
                <w:lang w:eastAsia="en-GB"/>
              </w:rPr>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7E42C65" w14:textId="77777777" w:rsidR="00C729F7" w:rsidRPr="0010515A" w:rsidRDefault="00C729F7">
            <w:pPr>
              <w:pStyle w:val="TAH"/>
              <w:rPr>
                <w:sz w:val="18"/>
                <w:szCs w:val="18"/>
                <w:lang w:eastAsia="en-GB"/>
              </w:rPr>
            </w:pPr>
            <w:r w:rsidRPr="0010515A">
              <w:rPr>
                <w:sz w:val="18"/>
                <w:szCs w:val="18"/>
                <w:lang w:eastAsia="en-GB"/>
              </w:rPr>
              <w:t xml:space="preserve">Corresponding frequency range </w:t>
            </w:r>
          </w:p>
        </w:tc>
      </w:tr>
      <w:tr w:rsidR="00C729F7" w:rsidRPr="00A2470A" w14:paraId="3A4D750A" w14:textId="7777777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66450BDA" w14:textId="77777777" w:rsidR="00C729F7" w:rsidRPr="00A2470A" w:rsidRDefault="00C729F7">
            <w:pPr>
              <w:pStyle w:val="TAC"/>
            </w:pPr>
            <w:r w:rsidRPr="00A2470A">
              <w:t>FR1</w:t>
            </w:r>
          </w:p>
        </w:tc>
        <w:tc>
          <w:tcPr>
            <w:tcW w:w="2977" w:type="dxa"/>
            <w:tcBorders>
              <w:top w:val="single" w:sz="4" w:space="0" w:color="auto"/>
              <w:left w:val="single" w:sz="4" w:space="0" w:color="auto"/>
              <w:bottom w:val="single" w:sz="4" w:space="0" w:color="auto"/>
              <w:right w:val="single" w:sz="4" w:space="0" w:color="auto"/>
            </w:tcBorders>
            <w:hideMark/>
          </w:tcPr>
          <w:p w14:paraId="01E49C51" w14:textId="77777777" w:rsidR="00C729F7" w:rsidRPr="00A2470A" w:rsidRDefault="00C729F7">
            <w:pPr>
              <w:pStyle w:val="TAC"/>
            </w:pPr>
            <w:r w:rsidRPr="00A2470A">
              <w:t>410</w:t>
            </w:r>
            <w:r>
              <w:t xml:space="preserve"> </w:t>
            </w:r>
            <w:r w:rsidRPr="00A2470A">
              <w:t>MHz</w:t>
            </w:r>
            <w:r>
              <w:t xml:space="preserve"> </w:t>
            </w:r>
            <w:r w:rsidRPr="00A2470A">
              <w:t>–</w:t>
            </w:r>
            <w:r>
              <w:t xml:space="preserve"> </w:t>
            </w:r>
            <w:r w:rsidRPr="00A2470A">
              <w:t>7125</w:t>
            </w:r>
            <w:r>
              <w:t xml:space="preserve"> </w:t>
            </w:r>
            <w:r w:rsidRPr="00A2470A">
              <w:t>MHz</w:t>
            </w:r>
          </w:p>
        </w:tc>
      </w:tr>
      <w:tr w:rsidR="00C729F7" w:rsidRPr="00A2470A" w14:paraId="55DC7775" w14:textId="77777777">
        <w:trPr>
          <w:jc w:val="center"/>
        </w:trPr>
        <w:tc>
          <w:tcPr>
            <w:tcW w:w="975" w:type="dxa"/>
            <w:vMerge w:val="restart"/>
            <w:tcBorders>
              <w:top w:val="single" w:sz="4" w:space="0" w:color="auto"/>
              <w:left w:val="single" w:sz="4" w:space="0" w:color="auto"/>
              <w:right w:val="single" w:sz="4" w:space="0" w:color="auto"/>
            </w:tcBorders>
            <w:hideMark/>
          </w:tcPr>
          <w:p w14:paraId="488FE184" w14:textId="77777777" w:rsidR="00C729F7" w:rsidRPr="00A2470A" w:rsidRDefault="00C729F7">
            <w:pPr>
              <w:pStyle w:val="TAC"/>
            </w:pPr>
            <w:r w:rsidRPr="00A2470A">
              <w:t>FR2</w:t>
            </w:r>
          </w:p>
        </w:tc>
        <w:tc>
          <w:tcPr>
            <w:tcW w:w="976" w:type="dxa"/>
            <w:tcBorders>
              <w:top w:val="single" w:sz="4" w:space="0" w:color="auto"/>
              <w:left w:val="single" w:sz="4" w:space="0" w:color="auto"/>
              <w:bottom w:val="single" w:sz="4" w:space="0" w:color="auto"/>
              <w:right w:val="single" w:sz="4" w:space="0" w:color="auto"/>
            </w:tcBorders>
          </w:tcPr>
          <w:p w14:paraId="52CB7079" w14:textId="77777777" w:rsidR="00C729F7" w:rsidRPr="00A2470A" w:rsidRDefault="00C729F7">
            <w:pPr>
              <w:pStyle w:val="TAC"/>
            </w:pPr>
            <w:r w:rsidRPr="00A2470A">
              <w:t>FR2-1</w:t>
            </w:r>
          </w:p>
        </w:tc>
        <w:tc>
          <w:tcPr>
            <w:tcW w:w="2977" w:type="dxa"/>
            <w:tcBorders>
              <w:top w:val="single" w:sz="4" w:space="0" w:color="auto"/>
              <w:left w:val="single" w:sz="4" w:space="0" w:color="auto"/>
              <w:bottom w:val="single" w:sz="4" w:space="0" w:color="auto"/>
              <w:right w:val="single" w:sz="4" w:space="0" w:color="auto"/>
            </w:tcBorders>
            <w:hideMark/>
          </w:tcPr>
          <w:p w14:paraId="61A6C4E5" w14:textId="77777777" w:rsidR="00C729F7" w:rsidRPr="00A2470A" w:rsidRDefault="00C729F7">
            <w:pPr>
              <w:pStyle w:val="TAC"/>
            </w:pPr>
            <w:r w:rsidRPr="00A2470A">
              <w:t>24250</w:t>
            </w:r>
            <w:r>
              <w:t xml:space="preserve"> </w:t>
            </w:r>
            <w:r w:rsidRPr="00A2470A">
              <w:t>MHz</w:t>
            </w:r>
            <w:r>
              <w:t xml:space="preserve"> </w:t>
            </w:r>
            <w:r w:rsidRPr="00A2470A">
              <w:t>–</w:t>
            </w:r>
            <w:r>
              <w:t xml:space="preserve"> </w:t>
            </w:r>
            <w:r w:rsidRPr="00A2470A">
              <w:t>52600</w:t>
            </w:r>
            <w:r>
              <w:t xml:space="preserve"> </w:t>
            </w:r>
            <w:r w:rsidRPr="00A2470A">
              <w:t>MHz</w:t>
            </w:r>
          </w:p>
        </w:tc>
      </w:tr>
      <w:tr w:rsidR="00C729F7" w:rsidRPr="00A2470A" w14:paraId="794C5EAB" w14:textId="77777777">
        <w:trPr>
          <w:jc w:val="center"/>
        </w:trPr>
        <w:tc>
          <w:tcPr>
            <w:tcW w:w="975" w:type="dxa"/>
            <w:vMerge/>
            <w:tcBorders>
              <w:left w:val="single" w:sz="4" w:space="0" w:color="auto"/>
              <w:bottom w:val="single" w:sz="4" w:space="0" w:color="auto"/>
              <w:right w:val="single" w:sz="4" w:space="0" w:color="auto"/>
            </w:tcBorders>
          </w:tcPr>
          <w:p w14:paraId="05DF9D6C" w14:textId="77777777" w:rsidR="00C729F7" w:rsidRPr="00A2470A" w:rsidRDefault="00C729F7">
            <w:pPr>
              <w:pStyle w:val="TAC"/>
            </w:pPr>
          </w:p>
        </w:tc>
        <w:tc>
          <w:tcPr>
            <w:tcW w:w="976" w:type="dxa"/>
            <w:tcBorders>
              <w:top w:val="single" w:sz="4" w:space="0" w:color="auto"/>
              <w:left w:val="single" w:sz="4" w:space="0" w:color="auto"/>
              <w:bottom w:val="single" w:sz="4" w:space="0" w:color="auto"/>
              <w:right w:val="single" w:sz="4" w:space="0" w:color="auto"/>
            </w:tcBorders>
          </w:tcPr>
          <w:p w14:paraId="6EA6EA82" w14:textId="77777777" w:rsidR="00C729F7" w:rsidRPr="00A2470A" w:rsidRDefault="00C729F7">
            <w:pPr>
              <w:pStyle w:val="TAC"/>
            </w:pPr>
            <w:r w:rsidRPr="00A2470A">
              <w:t>FR2-2</w:t>
            </w:r>
          </w:p>
        </w:tc>
        <w:tc>
          <w:tcPr>
            <w:tcW w:w="2977" w:type="dxa"/>
            <w:tcBorders>
              <w:top w:val="single" w:sz="4" w:space="0" w:color="auto"/>
              <w:left w:val="single" w:sz="4" w:space="0" w:color="auto"/>
              <w:bottom w:val="single" w:sz="4" w:space="0" w:color="auto"/>
              <w:right w:val="single" w:sz="4" w:space="0" w:color="auto"/>
            </w:tcBorders>
          </w:tcPr>
          <w:p w14:paraId="147F78DC" w14:textId="77777777" w:rsidR="00C729F7" w:rsidRPr="00A2470A" w:rsidRDefault="00C729F7">
            <w:pPr>
              <w:pStyle w:val="TAC"/>
            </w:pPr>
            <w:r w:rsidRPr="00A2470A">
              <w:t>52600</w:t>
            </w:r>
            <w:r>
              <w:t xml:space="preserve"> </w:t>
            </w:r>
            <w:r w:rsidRPr="00A2470A">
              <w:t>MHz</w:t>
            </w:r>
            <w:r>
              <w:t xml:space="preserve"> </w:t>
            </w:r>
            <w:r w:rsidRPr="00A2470A">
              <w:t>–</w:t>
            </w:r>
            <w:r>
              <w:t xml:space="preserve"> </w:t>
            </w:r>
            <w:r w:rsidRPr="00A2470A">
              <w:t>71000</w:t>
            </w:r>
            <w:r>
              <w:t xml:space="preserve"> </w:t>
            </w:r>
            <w:r w:rsidRPr="00A2470A">
              <w:t>MHz</w:t>
            </w:r>
          </w:p>
        </w:tc>
      </w:tr>
    </w:tbl>
    <w:p w14:paraId="01D8C2A8" w14:textId="03C23F09" w:rsidR="00C729F7" w:rsidRDefault="00C729F7" w:rsidP="00C729F7">
      <w:r>
        <w:br/>
        <w:t>It can be noted in Table 2.1-1 that FR2 was separated into two sub-ranges as FR2</w:t>
      </w:r>
      <w:r w:rsidR="00E74EFA">
        <w:t>-1</w:t>
      </w:r>
      <w:r>
        <w:t xml:space="preserve"> covers spectrum used for licensed NR deployment while FR2-2 currently covers only unlicensed deployment of NR.</w:t>
      </w:r>
    </w:p>
    <w:p w14:paraId="7F1584A2" w14:textId="4A63178B" w:rsidR="00090E51" w:rsidRDefault="00E74EFA" w:rsidP="00E74EFA">
      <w:pPr>
        <w:pStyle w:val="RAN4observation0"/>
      </w:pPr>
      <w:bookmarkStart w:id="1" w:name="_Toc213417870"/>
      <w:r w:rsidRPr="00E74EFA">
        <w:t xml:space="preserve">FR2 </w:t>
      </w:r>
      <w:r>
        <w:t>is</w:t>
      </w:r>
      <w:r w:rsidRPr="00E74EFA">
        <w:t xml:space="preserve"> separated into two sub-ranges</w:t>
      </w:r>
      <w:r w:rsidR="004516EF">
        <w:t xml:space="preserve"> </w:t>
      </w:r>
      <w:r w:rsidRPr="00E74EFA">
        <w:t xml:space="preserve">FR2-1 </w:t>
      </w:r>
      <w:r w:rsidR="004516EF">
        <w:t xml:space="preserve">and FR2-2, </w:t>
      </w:r>
      <w:r w:rsidR="00CA438A">
        <w:t xml:space="preserve">where </w:t>
      </w:r>
      <w:r w:rsidRPr="00E74EFA">
        <w:t xml:space="preserve">FR2-2 currently </w:t>
      </w:r>
      <w:r w:rsidR="00CA438A">
        <w:t>is</w:t>
      </w:r>
      <w:r w:rsidRPr="00E74EFA">
        <w:t xml:space="preserve"> only </w:t>
      </w:r>
      <w:r w:rsidR="00CA438A">
        <w:t xml:space="preserve">for </w:t>
      </w:r>
      <w:r w:rsidRPr="00E74EFA">
        <w:t>unlicensed deployment of NR</w:t>
      </w:r>
      <w:r w:rsidR="00CA438A">
        <w:t>.</w:t>
      </w:r>
      <w:bookmarkEnd w:id="1"/>
    </w:p>
    <w:p w14:paraId="7F4C5E3D" w14:textId="7B8319C3" w:rsidR="00B60785" w:rsidRPr="00B60785" w:rsidRDefault="00B60785" w:rsidP="00B60785">
      <w:r>
        <w:t xml:space="preserve">Given 6GR is not intended to cover unlicensed deployments, at least in the first release, </w:t>
      </w:r>
      <w:r w:rsidR="008835CB">
        <w:t xml:space="preserve">it is suggested to exclude the FR2-2 range as of now from the 6G discussions. This </w:t>
      </w:r>
      <w:r w:rsidR="00D31C6A">
        <w:t xml:space="preserve">in alignment with the SID description stating that it is not in the scope of the study. </w:t>
      </w:r>
    </w:p>
    <w:p w14:paraId="3989D19C" w14:textId="60D0FFDB" w:rsidR="00B60785" w:rsidRPr="00B60785" w:rsidRDefault="005E705A" w:rsidP="00B60785">
      <w:pPr>
        <w:pStyle w:val="RAN4proposal"/>
      </w:pPr>
      <w:bookmarkStart w:id="2" w:name="_Toc213417871"/>
      <w:r>
        <w:t xml:space="preserve">RAN4 shall excluded the FR2-2 range from the discussions </w:t>
      </w:r>
      <w:r w:rsidR="00B94EFF">
        <w:t xml:space="preserve">in alignment with the </w:t>
      </w:r>
      <w:r w:rsidR="007B7B6B">
        <w:t>SID.</w:t>
      </w:r>
      <w:bookmarkEnd w:id="2"/>
    </w:p>
    <w:p w14:paraId="627A5F0F" w14:textId="531C3C7C" w:rsidR="001E0593" w:rsidRDefault="001E0593" w:rsidP="001E0593">
      <w:pPr>
        <w:pStyle w:val="RAN4H3"/>
      </w:pPr>
      <w:r>
        <w:t xml:space="preserve">Alignment of </w:t>
      </w:r>
      <w:r w:rsidRPr="001E0593">
        <w:t xml:space="preserve">frequency ranges </w:t>
      </w:r>
      <w:r w:rsidR="00090E51">
        <w:t xml:space="preserve">between TN and NTN </w:t>
      </w:r>
    </w:p>
    <w:p w14:paraId="0280CA7F" w14:textId="0299D483" w:rsidR="00C729F7" w:rsidRDefault="00C729F7" w:rsidP="00C729F7">
      <w:r>
        <w:t>With the introduction of NTN to NR there was a need for expanding the usable spectrum ranges even further. However, to keep the impact to terrestrial NR at a minimum, it was decided to introduce frequency ranges specific for NTN as shown from TS 38.101-5 in Table 2.1-2.</w:t>
      </w:r>
    </w:p>
    <w:p w14:paraId="21E5130D" w14:textId="77777777" w:rsidR="00C729F7" w:rsidRPr="008744BA" w:rsidRDefault="00C729F7" w:rsidP="00C729F7">
      <w:pPr>
        <w:jc w:val="center"/>
        <w:rPr>
          <w:b/>
          <w:bCs/>
        </w:rPr>
      </w:pPr>
      <w:r w:rsidRPr="008744BA">
        <w:rPr>
          <w:b/>
          <w:bCs/>
        </w:rPr>
        <w:t xml:space="preserve">Table </w:t>
      </w:r>
      <w:r>
        <w:rPr>
          <w:b/>
          <w:bCs/>
        </w:rPr>
        <w:t>2</w:t>
      </w:r>
      <w:r w:rsidRPr="008744BA">
        <w:rPr>
          <w:b/>
          <w:bCs/>
        </w:rPr>
        <w:t>.</w:t>
      </w:r>
      <w:r>
        <w:rPr>
          <w:b/>
          <w:bCs/>
        </w:rPr>
        <w:t>1</w:t>
      </w:r>
      <w:r w:rsidRPr="008744BA">
        <w:rPr>
          <w:b/>
          <w:bCs/>
        </w:rPr>
        <w:t>-</w:t>
      </w:r>
      <w:r>
        <w:rPr>
          <w:b/>
          <w:bCs/>
        </w:rPr>
        <w:t>2</w:t>
      </w:r>
      <w:r w:rsidRPr="008744BA">
        <w:rPr>
          <w:b/>
          <w:bCs/>
        </w:rPr>
        <w:t xml:space="preserve">: </w:t>
      </w:r>
      <w:r w:rsidRPr="004F7363">
        <w:rPr>
          <w:b/>
          <w:bCs/>
        </w:rPr>
        <w:t xml:space="preserve">Definition of </w:t>
      </w:r>
      <w:r>
        <w:rPr>
          <w:b/>
          <w:bCs/>
        </w:rPr>
        <w:t xml:space="preserve">NTN </w:t>
      </w:r>
      <w:r w:rsidRPr="004F7363">
        <w:rPr>
          <w:b/>
          <w:bCs/>
        </w:rPr>
        <w:t xml:space="preserve">frequency ranges </w:t>
      </w:r>
      <w:r>
        <w:rPr>
          <w:b/>
          <w:bCs/>
        </w:rPr>
        <w:t>in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7"/>
        <w:gridCol w:w="5063"/>
      </w:tblGrid>
      <w:tr w:rsidR="00C729F7" w14:paraId="759AC372" w14:textId="77777777">
        <w:trPr>
          <w:cantSplit/>
          <w:jc w:val="center"/>
        </w:trPr>
        <w:tc>
          <w:tcPr>
            <w:tcW w:w="0" w:type="auto"/>
          </w:tcPr>
          <w:p w14:paraId="6C1893F1" w14:textId="77777777" w:rsidR="00C729F7" w:rsidRPr="00584A23" w:rsidRDefault="00C729F7">
            <w:pPr>
              <w:pStyle w:val="TAH"/>
              <w:rPr>
                <w:sz w:val="18"/>
                <w:szCs w:val="18"/>
              </w:rPr>
            </w:pPr>
            <w:r w:rsidRPr="00584A23">
              <w:rPr>
                <w:sz w:val="18"/>
                <w:szCs w:val="18"/>
              </w:rPr>
              <w:t>Frequency range designation</w:t>
            </w:r>
          </w:p>
        </w:tc>
        <w:tc>
          <w:tcPr>
            <w:tcW w:w="4884" w:type="dxa"/>
          </w:tcPr>
          <w:p w14:paraId="05F07A91" w14:textId="77777777" w:rsidR="00C729F7" w:rsidRPr="00584A23" w:rsidRDefault="00C729F7">
            <w:pPr>
              <w:pStyle w:val="TAH"/>
              <w:rPr>
                <w:sz w:val="18"/>
                <w:szCs w:val="18"/>
              </w:rPr>
            </w:pPr>
            <w:r w:rsidRPr="00584A23">
              <w:rPr>
                <w:sz w:val="18"/>
                <w:szCs w:val="18"/>
              </w:rPr>
              <w:t xml:space="preserve">Corresponding frequency range </w:t>
            </w:r>
          </w:p>
        </w:tc>
      </w:tr>
      <w:tr w:rsidR="00C729F7" w14:paraId="4D99FD06" w14:textId="77777777">
        <w:trPr>
          <w:cantSplit/>
          <w:jc w:val="center"/>
        </w:trPr>
        <w:tc>
          <w:tcPr>
            <w:tcW w:w="0" w:type="auto"/>
          </w:tcPr>
          <w:p w14:paraId="4D48E426" w14:textId="77777777" w:rsidR="00C729F7" w:rsidRDefault="00C729F7">
            <w:pPr>
              <w:pStyle w:val="TAC"/>
            </w:pPr>
            <w:r>
              <w:t>FR1-NTN</w:t>
            </w:r>
            <w:r>
              <w:rPr>
                <w:vertAlign w:val="superscript"/>
              </w:rPr>
              <w:t xml:space="preserve"> </w:t>
            </w:r>
            <w:r w:rsidRPr="00626493">
              <w:t>(Note 1)</w:t>
            </w:r>
          </w:p>
        </w:tc>
        <w:tc>
          <w:tcPr>
            <w:tcW w:w="4884" w:type="dxa"/>
          </w:tcPr>
          <w:p w14:paraId="006569D7" w14:textId="77777777" w:rsidR="00C729F7" w:rsidRDefault="00C729F7">
            <w:pPr>
              <w:pStyle w:val="TAC"/>
            </w:pPr>
            <w:r>
              <w:t>410 MHz – 14500 MHz</w:t>
            </w:r>
          </w:p>
        </w:tc>
      </w:tr>
      <w:tr w:rsidR="00C729F7" w14:paraId="034D18C3" w14:textId="77777777">
        <w:trPr>
          <w:cantSplit/>
          <w:jc w:val="center"/>
        </w:trPr>
        <w:tc>
          <w:tcPr>
            <w:tcW w:w="0" w:type="auto"/>
          </w:tcPr>
          <w:p w14:paraId="278CB78F" w14:textId="77777777" w:rsidR="00C729F7" w:rsidRDefault="00C729F7">
            <w:pPr>
              <w:pStyle w:val="TAC"/>
            </w:pPr>
            <w:r w:rsidRPr="00174061">
              <w:t>FR2-NTN</w:t>
            </w:r>
            <w:r>
              <w:rPr>
                <w:vertAlign w:val="superscript"/>
              </w:rPr>
              <w:t xml:space="preserve"> </w:t>
            </w:r>
            <w:r w:rsidRPr="00626493">
              <w:t xml:space="preserve">(Note </w:t>
            </w:r>
            <w:r>
              <w:t>2</w:t>
            </w:r>
            <w:r w:rsidRPr="00626493">
              <w:t>)</w:t>
            </w:r>
          </w:p>
        </w:tc>
        <w:tc>
          <w:tcPr>
            <w:tcW w:w="4884" w:type="dxa"/>
          </w:tcPr>
          <w:p w14:paraId="5C6AABC9" w14:textId="77777777" w:rsidR="00C729F7" w:rsidRDefault="00C729F7">
            <w:pPr>
              <w:pStyle w:val="TAC"/>
            </w:pPr>
            <w:r w:rsidRPr="00174061">
              <w:t>1</w:t>
            </w:r>
            <w:r>
              <w:t>07</w:t>
            </w:r>
            <w:r w:rsidRPr="00174061">
              <w:t>00 MHz – 30000 MHz</w:t>
            </w:r>
          </w:p>
        </w:tc>
      </w:tr>
      <w:tr w:rsidR="00C729F7" w14:paraId="433A6C55" w14:textId="77777777">
        <w:trPr>
          <w:cantSplit/>
          <w:jc w:val="center"/>
        </w:trPr>
        <w:tc>
          <w:tcPr>
            <w:tcW w:w="7890" w:type="dxa"/>
            <w:gridSpan w:val="2"/>
          </w:tcPr>
          <w:p w14:paraId="3FBBA30B" w14:textId="77777777" w:rsidR="00C729F7" w:rsidRPr="00174061" w:rsidRDefault="00C729F7">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1C6AAB4D" w14:textId="77777777" w:rsidR="00C729F7" w:rsidRPr="00174061" w:rsidRDefault="00C729F7">
            <w:pPr>
              <w:pStyle w:val="TAN"/>
            </w:pPr>
            <w:r w:rsidRPr="00174061">
              <w:rPr>
                <w:lang w:val="en-US"/>
              </w:rPr>
              <w:t>NOTE 2:</w:t>
            </w:r>
            <w:r>
              <w:tab/>
            </w:r>
            <w:r w:rsidRPr="00174061">
              <w:rPr>
                <w:lang w:val="en-US"/>
              </w:rPr>
              <w:t>NTN bands within this frequency range 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335ADE08" w14:textId="7756F9F9" w:rsidR="00C729F7" w:rsidRDefault="00C729F7" w:rsidP="00C729F7">
      <w:r>
        <w:br/>
        <w:t xml:space="preserve">From </w:t>
      </w:r>
      <w:r w:rsidRPr="00E41528">
        <w:t>Table 2.1-2</w:t>
      </w:r>
      <w:r>
        <w:t xml:space="preserve"> it is noted that FR1-NTN and FR2-NTN is not aligned to FR1 and FR2 respectively. With the latest updates to TS 38.101-5 FR1-NTN and FR2-NTN are even overlapped in the central range. </w:t>
      </w:r>
      <w:r w:rsidR="00D4351E">
        <w:t xml:space="preserve">This is illustrated in </w:t>
      </w:r>
      <w:r w:rsidR="00D4351E" w:rsidRPr="00D4351E">
        <w:t>Figure 2.1.1-1</w:t>
      </w:r>
      <w:r>
        <w:t xml:space="preserve">. </w:t>
      </w:r>
    </w:p>
    <w:p w14:paraId="2DE34E1D" w14:textId="451D0AD7" w:rsidR="004E3CEC" w:rsidRDefault="0095421F" w:rsidP="0095421F">
      <w:pPr>
        <w:jc w:val="center"/>
      </w:pPr>
      <w:r w:rsidRPr="0095421F">
        <w:rPr>
          <w:noProof/>
        </w:rPr>
        <w:drawing>
          <wp:inline distT="0" distB="0" distL="0" distR="0" wp14:anchorId="0635AC88" wp14:editId="339F0B90">
            <wp:extent cx="5654614" cy="1981200"/>
            <wp:effectExtent l="0" t="0" r="3810" b="0"/>
            <wp:docPr id="2140030080"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030080" name="Picture 1" descr="A diagram of a computer&#10;&#10;AI-generated content may be incorrect."/>
                    <pic:cNvPicPr/>
                  </pic:nvPicPr>
                  <pic:blipFill>
                    <a:blip r:embed="rId13"/>
                    <a:stretch>
                      <a:fillRect/>
                    </a:stretch>
                  </pic:blipFill>
                  <pic:spPr>
                    <a:xfrm>
                      <a:off x="0" y="0"/>
                      <a:ext cx="5665078" cy="1984866"/>
                    </a:xfrm>
                    <a:prstGeom prst="rect">
                      <a:avLst/>
                    </a:prstGeom>
                  </pic:spPr>
                </pic:pic>
              </a:graphicData>
            </a:graphic>
          </wp:inline>
        </w:drawing>
      </w:r>
    </w:p>
    <w:p w14:paraId="6EB2541C" w14:textId="79C90590" w:rsidR="0048606A" w:rsidRDefault="0048606A" w:rsidP="0048606A">
      <w:pPr>
        <w:jc w:val="center"/>
        <w:rPr>
          <w:b/>
          <w:bCs/>
        </w:rPr>
      </w:pPr>
      <w:r w:rsidRPr="00DA6098">
        <w:rPr>
          <w:b/>
          <w:bCs/>
        </w:rPr>
        <w:t>Figure 2.</w:t>
      </w:r>
      <w:r>
        <w:rPr>
          <w:b/>
          <w:bCs/>
        </w:rPr>
        <w:t>1</w:t>
      </w:r>
      <w:r w:rsidRPr="00DA6098">
        <w:rPr>
          <w:b/>
          <w:bCs/>
        </w:rPr>
        <w:t>.</w:t>
      </w:r>
      <w:r>
        <w:rPr>
          <w:b/>
          <w:bCs/>
        </w:rPr>
        <w:t>1</w:t>
      </w:r>
      <w:r w:rsidRPr="00DA6098">
        <w:rPr>
          <w:b/>
          <w:bCs/>
        </w:rPr>
        <w:t xml:space="preserve">-1 </w:t>
      </w:r>
      <w:r w:rsidR="00857D80" w:rsidRPr="00857D80">
        <w:rPr>
          <w:b/>
          <w:bCs/>
        </w:rPr>
        <w:t>Current Frequency Ranges defined for NR</w:t>
      </w:r>
    </w:p>
    <w:p w14:paraId="4004BAFD" w14:textId="06C4B1DF" w:rsidR="00C729F7" w:rsidRDefault="00C729F7" w:rsidP="00C729F7">
      <w:pPr>
        <w:pStyle w:val="RAN4observation0"/>
      </w:pPr>
      <w:bookmarkStart w:id="3" w:name="_Toc210046998"/>
      <w:bookmarkStart w:id="4" w:name="_Toc213417872"/>
      <w:r>
        <w:lastRenderedPageBreak/>
        <w:t>NR currently has multiple frequency range definitions dependent on not only frequency range but also deployment type.</w:t>
      </w:r>
      <w:bookmarkEnd w:id="3"/>
      <w:r w:rsidR="00F91C58">
        <w:t xml:space="preserve"> The frequency ranges defined for TN </w:t>
      </w:r>
      <w:r w:rsidR="0080171D">
        <w:t>deployments are not aligned to those defined for NTN deployments.</w:t>
      </w:r>
      <w:bookmarkEnd w:id="4"/>
    </w:p>
    <w:p w14:paraId="10864CD6" w14:textId="5EBCCBC3" w:rsidR="00C729F7" w:rsidRDefault="00C729F7" w:rsidP="00C729F7">
      <w:r>
        <w:t xml:space="preserve">Since the intent when defining the 6G SI is that NTN operation shall be a part of the generic requirements </w:t>
      </w:r>
      <w:r w:rsidR="00AF6391">
        <w:t>we believe it should be</w:t>
      </w:r>
      <w:r>
        <w:t xml:space="preserve"> considered whether the frequency ranges for TN and NTN use still is to be separated.</w:t>
      </w:r>
    </w:p>
    <w:p w14:paraId="4CD100A4" w14:textId="68AB841C" w:rsidR="00973FA2" w:rsidRPr="007D33ED" w:rsidRDefault="0094792A" w:rsidP="00973FA2">
      <w:r>
        <w:t xml:space="preserve">At RAN4#116bis </w:t>
      </w:r>
      <w:r w:rsidR="000134A5">
        <w:t xml:space="preserve">a WF </w:t>
      </w:r>
      <w:r w:rsidR="00DF08D7">
        <w:t xml:space="preserve">[4] </w:t>
      </w:r>
      <w:r w:rsidR="000134A5">
        <w:t xml:space="preserve">was agreed to first consider TN </w:t>
      </w:r>
      <w:r w:rsidR="00FA1C2E">
        <w:t xml:space="preserve">deployment when discussing the frequency </w:t>
      </w:r>
      <w:r w:rsidR="00DF08D7">
        <w:t>ranges:</w:t>
      </w:r>
      <w:r w:rsidR="00973FA2">
        <w:t xml:space="preserve"> </w:t>
      </w:r>
    </w:p>
    <w:tbl>
      <w:tblPr>
        <w:tblStyle w:val="TableGrid"/>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2"/>
      </w:tblGrid>
      <w:tr w:rsidR="00973FA2" w14:paraId="04564BC6" w14:textId="77777777" w:rsidTr="000134A5">
        <w:trPr>
          <w:trHeight w:val="760"/>
        </w:trPr>
        <w:tc>
          <w:tcPr>
            <w:tcW w:w="10195" w:type="dxa"/>
          </w:tcPr>
          <w:p w14:paraId="6258ABFE" w14:textId="77777777" w:rsidR="000134A5" w:rsidRPr="00F82ADC" w:rsidRDefault="000134A5" w:rsidP="000134A5">
            <w:pPr>
              <w:pStyle w:val="ListParagraph"/>
              <w:numPr>
                <w:ilvl w:val="0"/>
                <w:numId w:val="18"/>
              </w:numPr>
              <w:spacing w:after="120"/>
              <w:ind w:left="720"/>
              <w:contextualSpacing w:val="0"/>
              <w:rPr>
                <w:rFonts w:eastAsia="SimSun"/>
                <w:color w:val="0070C0"/>
                <w:szCs w:val="24"/>
                <w:highlight w:val="green"/>
                <w:lang w:eastAsia="zh-CN"/>
              </w:rPr>
            </w:pPr>
            <w:r w:rsidRPr="00F82ADC">
              <w:rPr>
                <w:rFonts w:eastAsia="SimSun"/>
                <w:color w:val="0070C0"/>
                <w:szCs w:val="24"/>
                <w:highlight w:val="green"/>
                <w:lang w:eastAsia="zh-CN"/>
              </w:rPr>
              <w:t>WF</w:t>
            </w:r>
          </w:p>
          <w:p w14:paraId="4C6CC88B" w14:textId="71EEFD4A" w:rsidR="00973FA2" w:rsidRPr="00F82ADC" w:rsidRDefault="000134A5" w:rsidP="000134A5">
            <w:pPr>
              <w:pStyle w:val="ListParagraph"/>
              <w:numPr>
                <w:ilvl w:val="1"/>
                <w:numId w:val="18"/>
              </w:numPr>
              <w:spacing w:after="120"/>
              <w:ind w:left="1440"/>
              <w:contextualSpacing w:val="0"/>
              <w:rPr>
                <w:rFonts w:eastAsia="SimSun"/>
                <w:color w:val="0070C0"/>
                <w:szCs w:val="24"/>
                <w:lang w:eastAsia="zh-CN"/>
              </w:rPr>
            </w:pPr>
            <w:r w:rsidRPr="00F82ADC">
              <w:rPr>
                <w:rFonts w:eastAsia="SimSun"/>
                <w:color w:val="0070C0"/>
                <w:szCs w:val="24"/>
                <w:lang w:eastAsia="zh-CN"/>
              </w:rPr>
              <w:t xml:space="preserve">RAN4 will initially focus the discussion on frequency ranges based on TN deployment. </w:t>
            </w:r>
          </w:p>
        </w:tc>
      </w:tr>
    </w:tbl>
    <w:p w14:paraId="5BBBC066" w14:textId="30A9CA8C" w:rsidR="00973FA2" w:rsidRDefault="00973FA2" w:rsidP="00C729F7">
      <w:r>
        <w:rPr>
          <w:lang w:eastAsia="zh-CN"/>
        </w:rPr>
        <w:br/>
      </w:r>
      <w:r w:rsidR="00EA60EF">
        <w:t>Even, we believe there is benefit in also considering the alignment between TN and NTN definitions we acknowledge the significantly different deployment scenarios</w:t>
      </w:r>
      <w:r w:rsidR="00615AA9">
        <w:t>. However, we would still try and align if possible.</w:t>
      </w:r>
    </w:p>
    <w:p w14:paraId="433BF9E5" w14:textId="2F301BEA" w:rsidR="00ED6668" w:rsidRDefault="00EC3646" w:rsidP="00EC3646">
      <w:pPr>
        <w:pStyle w:val="RAN4H3"/>
      </w:pPr>
      <w:r>
        <w:t>Framework for frequency definition</w:t>
      </w:r>
    </w:p>
    <w:p w14:paraId="3EB35004" w14:textId="41CDC94D" w:rsidR="00594EDB" w:rsidRPr="007D33ED" w:rsidRDefault="00EC3646" w:rsidP="00594EDB">
      <w:r>
        <w:t>At RAN4</w:t>
      </w:r>
      <w:r w:rsidR="00B36F85">
        <w:t>#116bis a great amount of the discussion time was on the framework for the frequency range definitions</w:t>
      </w:r>
      <w:r w:rsidR="00594EDB">
        <w:t xml:space="preserve">. It </w:t>
      </w:r>
      <w:r w:rsidR="00F41356">
        <w:t xml:space="preserve">resulted in a </w:t>
      </w:r>
      <w:r w:rsidR="00594EDB">
        <w:t xml:space="preserve">WF [4]: </w:t>
      </w:r>
    </w:p>
    <w:tbl>
      <w:tblPr>
        <w:tblStyle w:val="TableGrid"/>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2"/>
      </w:tblGrid>
      <w:tr w:rsidR="00594EDB" w14:paraId="1269454A" w14:textId="77777777">
        <w:trPr>
          <w:trHeight w:val="760"/>
        </w:trPr>
        <w:tc>
          <w:tcPr>
            <w:tcW w:w="10195" w:type="dxa"/>
          </w:tcPr>
          <w:p w14:paraId="6AD3EA9E" w14:textId="77777777" w:rsidR="005C37BE" w:rsidRPr="00472055" w:rsidRDefault="005C37BE" w:rsidP="005C37BE">
            <w:pPr>
              <w:pStyle w:val="ListParagraph"/>
              <w:numPr>
                <w:ilvl w:val="0"/>
                <w:numId w:val="18"/>
              </w:numPr>
              <w:spacing w:after="120"/>
              <w:ind w:left="720"/>
              <w:contextualSpacing w:val="0"/>
              <w:rPr>
                <w:rFonts w:eastAsia="SimSun"/>
                <w:color w:val="0070C0"/>
                <w:szCs w:val="24"/>
                <w:highlight w:val="green"/>
                <w:lang w:eastAsia="zh-CN"/>
              </w:rPr>
            </w:pPr>
            <w:r w:rsidRPr="00472055">
              <w:rPr>
                <w:rFonts w:eastAsia="SimSun"/>
                <w:color w:val="0070C0"/>
                <w:szCs w:val="24"/>
                <w:highlight w:val="green"/>
                <w:lang w:eastAsia="zh-CN"/>
              </w:rPr>
              <w:t>WF</w:t>
            </w:r>
          </w:p>
          <w:p w14:paraId="5EDC9680" w14:textId="77777777" w:rsidR="005C37BE" w:rsidRPr="00F82ADC" w:rsidRDefault="005C37BE" w:rsidP="005C37BE">
            <w:pPr>
              <w:pStyle w:val="ListParagraph"/>
              <w:numPr>
                <w:ilvl w:val="1"/>
                <w:numId w:val="18"/>
              </w:numPr>
              <w:spacing w:after="120"/>
              <w:ind w:left="1440"/>
              <w:contextualSpacing w:val="0"/>
              <w:rPr>
                <w:rFonts w:eastAsia="SimSun"/>
                <w:color w:val="0070C0"/>
                <w:szCs w:val="24"/>
                <w:lang w:eastAsia="zh-CN"/>
              </w:rPr>
            </w:pPr>
            <w:r w:rsidRPr="00F82ADC">
              <w:rPr>
                <w:rFonts w:eastAsia="SimSun"/>
                <w:color w:val="0070C0"/>
                <w:szCs w:val="24"/>
                <w:lang w:eastAsia="zh-CN"/>
              </w:rPr>
              <w:t>RAN4 acknowledge that a definition of frequency ranges depends on multiple criteria’s which may have different importance dependent on individual company views. As a starting point the following can be discussed, not precluding companies to also consider others:</w:t>
            </w:r>
          </w:p>
          <w:p w14:paraId="4F8683F1" w14:textId="77777777" w:rsidR="005C37BE" w:rsidRPr="00F82ADC" w:rsidRDefault="005C37BE" w:rsidP="005C37BE">
            <w:pPr>
              <w:pStyle w:val="ListParagraph"/>
              <w:numPr>
                <w:ilvl w:val="2"/>
                <w:numId w:val="18"/>
              </w:numPr>
              <w:overflowPunct w:val="0"/>
              <w:autoSpaceDE w:val="0"/>
              <w:autoSpaceDN w:val="0"/>
              <w:adjustRightInd w:val="0"/>
              <w:spacing w:after="120"/>
              <w:contextualSpacing w:val="0"/>
              <w:textAlignment w:val="baseline"/>
              <w:rPr>
                <w:rFonts w:eastAsia="SimSun"/>
                <w:color w:val="0070C0"/>
                <w:szCs w:val="24"/>
                <w:lang w:eastAsia="zh-CN"/>
              </w:rPr>
            </w:pPr>
            <w:r w:rsidRPr="00F82ADC">
              <w:rPr>
                <w:rFonts w:eastAsia="SimSun"/>
                <w:color w:val="0070C0"/>
                <w:szCs w:val="24"/>
                <w:lang w:eastAsia="zh-CN"/>
              </w:rPr>
              <w:t>Regulatory framework</w:t>
            </w:r>
          </w:p>
          <w:p w14:paraId="76808D6A" w14:textId="77777777" w:rsidR="005C37BE" w:rsidRPr="00F82ADC" w:rsidRDefault="005C37BE" w:rsidP="005C37BE">
            <w:pPr>
              <w:pStyle w:val="ListParagraph"/>
              <w:numPr>
                <w:ilvl w:val="2"/>
                <w:numId w:val="18"/>
              </w:numPr>
              <w:overflowPunct w:val="0"/>
              <w:autoSpaceDE w:val="0"/>
              <w:autoSpaceDN w:val="0"/>
              <w:adjustRightInd w:val="0"/>
              <w:spacing w:after="120"/>
              <w:contextualSpacing w:val="0"/>
              <w:textAlignment w:val="baseline"/>
              <w:rPr>
                <w:rFonts w:eastAsia="SimSun"/>
                <w:color w:val="0070C0"/>
                <w:szCs w:val="24"/>
                <w:lang w:eastAsia="zh-CN"/>
              </w:rPr>
            </w:pPr>
            <w:r w:rsidRPr="00F82ADC">
              <w:rPr>
                <w:rFonts w:eastAsia="SimSun"/>
                <w:color w:val="0070C0"/>
                <w:szCs w:val="24"/>
                <w:lang w:eastAsia="zh-CN"/>
              </w:rPr>
              <w:t>UE RF front-end architecture (e.g. whether requirements can be verified conducted or not)</w:t>
            </w:r>
          </w:p>
          <w:p w14:paraId="3CBE05AF" w14:textId="77777777" w:rsidR="005C37BE" w:rsidRPr="00F82ADC" w:rsidRDefault="005C37BE" w:rsidP="005C37BE">
            <w:pPr>
              <w:pStyle w:val="ListParagraph"/>
              <w:numPr>
                <w:ilvl w:val="2"/>
                <w:numId w:val="18"/>
              </w:numPr>
              <w:overflowPunct w:val="0"/>
              <w:autoSpaceDE w:val="0"/>
              <w:autoSpaceDN w:val="0"/>
              <w:adjustRightInd w:val="0"/>
              <w:spacing w:after="120"/>
              <w:contextualSpacing w:val="0"/>
              <w:textAlignment w:val="baseline"/>
              <w:rPr>
                <w:rFonts w:eastAsia="SimSun"/>
                <w:color w:val="0070C0"/>
                <w:szCs w:val="24"/>
                <w:lang w:eastAsia="zh-CN"/>
              </w:rPr>
            </w:pPr>
            <w:r w:rsidRPr="00F82ADC">
              <w:rPr>
                <w:rFonts w:eastAsia="SimSun"/>
                <w:color w:val="0070C0"/>
                <w:szCs w:val="24"/>
                <w:lang w:eastAsia="zh-CN"/>
              </w:rPr>
              <w:t>Commonality of UE RF/RRM requirements</w:t>
            </w:r>
          </w:p>
          <w:p w14:paraId="60ECCCE2" w14:textId="77777777" w:rsidR="005C37BE" w:rsidRPr="00F82ADC" w:rsidRDefault="005C37BE" w:rsidP="005C37BE">
            <w:pPr>
              <w:pStyle w:val="ListParagraph"/>
              <w:numPr>
                <w:ilvl w:val="2"/>
                <w:numId w:val="18"/>
              </w:numPr>
              <w:overflowPunct w:val="0"/>
              <w:autoSpaceDE w:val="0"/>
              <w:autoSpaceDN w:val="0"/>
              <w:adjustRightInd w:val="0"/>
              <w:spacing w:after="120"/>
              <w:contextualSpacing w:val="0"/>
              <w:textAlignment w:val="baseline"/>
              <w:rPr>
                <w:rFonts w:eastAsia="SimSun"/>
                <w:color w:val="0070C0"/>
                <w:szCs w:val="24"/>
                <w:lang w:eastAsia="zh-CN"/>
              </w:rPr>
            </w:pPr>
            <w:r w:rsidRPr="00F82ADC">
              <w:rPr>
                <w:rFonts w:eastAsia="SimSun"/>
                <w:color w:val="0070C0"/>
                <w:szCs w:val="24"/>
                <w:lang w:eastAsia="zh-CN"/>
              </w:rPr>
              <w:t xml:space="preserve">Numerology dependency </w:t>
            </w:r>
          </w:p>
          <w:p w14:paraId="777CF0C9" w14:textId="77777777" w:rsidR="005C37BE" w:rsidRPr="00F82ADC" w:rsidRDefault="005C37BE" w:rsidP="005C37BE">
            <w:pPr>
              <w:pStyle w:val="ListParagraph"/>
              <w:numPr>
                <w:ilvl w:val="2"/>
                <w:numId w:val="18"/>
              </w:numPr>
              <w:spacing w:after="120"/>
              <w:contextualSpacing w:val="0"/>
              <w:rPr>
                <w:rFonts w:eastAsia="SimSun"/>
                <w:color w:val="0070C0"/>
                <w:szCs w:val="24"/>
                <w:lang w:eastAsia="zh-CN"/>
              </w:rPr>
            </w:pPr>
            <w:r w:rsidRPr="00F82ADC">
              <w:rPr>
                <w:rFonts w:eastAsia="SimSun"/>
                <w:color w:val="0070C0"/>
                <w:szCs w:val="24"/>
                <w:lang w:eastAsia="zh-CN"/>
              </w:rPr>
              <w:t>Unification of TN and NTN operation</w:t>
            </w:r>
          </w:p>
          <w:p w14:paraId="0F2E446F" w14:textId="77777777" w:rsidR="005C37BE" w:rsidRPr="00F82ADC" w:rsidRDefault="005C37BE" w:rsidP="005C37BE">
            <w:pPr>
              <w:pStyle w:val="ListParagraph"/>
              <w:numPr>
                <w:ilvl w:val="2"/>
                <w:numId w:val="18"/>
              </w:numPr>
              <w:spacing w:after="120"/>
              <w:contextualSpacing w:val="0"/>
              <w:rPr>
                <w:rFonts w:eastAsia="SimSun"/>
                <w:color w:val="0070C0"/>
                <w:szCs w:val="24"/>
                <w:lang w:eastAsia="zh-CN"/>
              </w:rPr>
            </w:pPr>
            <w:r w:rsidRPr="00F82ADC">
              <w:rPr>
                <w:rFonts w:eastAsia="SimSun"/>
                <w:color w:val="0070C0"/>
                <w:szCs w:val="24"/>
                <w:lang w:eastAsia="zh-CN"/>
              </w:rPr>
              <w:t>BS types and requirements</w:t>
            </w:r>
          </w:p>
          <w:p w14:paraId="394E7848" w14:textId="006D85AC" w:rsidR="00594EDB" w:rsidRPr="00F82ADC" w:rsidRDefault="005C37BE" w:rsidP="00F82ADC">
            <w:pPr>
              <w:pStyle w:val="ListParagraph"/>
              <w:numPr>
                <w:ilvl w:val="1"/>
                <w:numId w:val="18"/>
              </w:numPr>
              <w:spacing w:after="120"/>
              <w:contextualSpacing w:val="0"/>
              <w:rPr>
                <w:rFonts w:eastAsia="SimSun"/>
                <w:color w:val="0070C0"/>
                <w:szCs w:val="24"/>
                <w:lang w:eastAsia="zh-CN"/>
              </w:rPr>
            </w:pPr>
            <w:r w:rsidRPr="00F82ADC">
              <w:rPr>
                <w:rFonts w:eastAsia="SimSun"/>
                <w:color w:val="0070C0"/>
                <w:szCs w:val="24"/>
                <w:lang w:eastAsia="zh-CN"/>
              </w:rPr>
              <w:t>Companies are encouraged to share information on the criteria they are considering for their proposal on frequency range definition(s)</w:t>
            </w:r>
          </w:p>
        </w:tc>
      </w:tr>
    </w:tbl>
    <w:p w14:paraId="0277B52A" w14:textId="77762E7E" w:rsidR="00ED6668" w:rsidRDefault="00594EDB" w:rsidP="006C6ED1">
      <w:r>
        <w:rPr>
          <w:lang w:eastAsia="zh-CN"/>
        </w:rPr>
        <w:br/>
      </w:r>
      <w:r w:rsidR="003C4883">
        <w:t xml:space="preserve">In addition to this we would like to emphasize the </w:t>
      </w:r>
      <w:r w:rsidR="00EE5C4C">
        <w:t xml:space="preserve">RAN guidance and what is being discussed in RAN1 related to frequency ranges. </w:t>
      </w:r>
      <w:r w:rsidR="006C6ED1">
        <w:t xml:space="preserve">This is illustrated in </w:t>
      </w:r>
      <w:r w:rsidR="006C6ED1" w:rsidRPr="006C6ED1">
        <w:t>Table 2.1.2-1</w:t>
      </w:r>
      <w:r w:rsidR="006C6ED1">
        <w:t xml:space="preserve">. </w:t>
      </w:r>
    </w:p>
    <w:p w14:paraId="733C56F2" w14:textId="44FB3F85" w:rsidR="00ED6668" w:rsidRPr="0048606A" w:rsidRDefault="00ED6668" w:rsidP="0048606A">
      <w:pPr>
        <w:jc w:val="center"/>
        <w:rPr>
          <w:b/>
          <w:bCs/>
        </w:rPr>
      </w:pPr>
      <w:r w:rsidRPr="0048606A">
        <w:rPr>
          <w:b/>
          <w:bCs/>
        </w:rPr>
        <w:t>Table 2.1</w:t>
      </w:r>
      <w:r w:rsidR="008B19A6" w:rsidRPr="0048606A">
        <w:rPr>
          <w:b/>
          <w:bCs/>
        </w:rPr>
        <w:t>.2</w:t>
      </w:r>
      <w:r w:rsidRPr="0048606A">
        <w:rPr>
          <w:b/>
          <w:bCs/>
        </w:rPr>
        <w:t xml:space="preserve">-1: </w:t>
      </w:r>
      <w:r w:rsidR="00166365" w:rsidRPr="0048606A">
        <w:rPr>
          <w:b/>
          <w:bCs/>
        </w:rPr>
        <w:t>Frequency Ranges discussed in other WGs based on RAN guidance</w:t>
      </w:r>
    </w:p>
    <w:tbl>
      <w:tblPr>
        <w:tblStyle w:val="TableGrid"/>
        <w:tblW w:w="7006" w:type="dxa"/>
        <w:tblInd w:w="13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36"/>
        <w:gridCol w:w="2268"/>
        <w:gridCol w:w="1701"/>
        <w:gridCol w:w="1701"/>
      </w:tblGrid>
      <w:tr w:rsidR="00596C94" w:rsidRPr="00021021" w14:paraId="0049D0F2" w14:textId="77777777" w:rsidTr="0048606A">
        <w:trPr>
          <w:cantSplit/>
          <w:trHeight w:val="300"/>
        </w:trPr>
        <w:tc>
          <w:tcPr>
            <w:tcW w:w="1336" w:type="dxa"/>
            <w:shd w:val="clear" w:color="auto" w:fill="BFBFBF" w:themeFill="background1" w:themeFillShade="BF"/>
          </w:tcPr>
          <w:p w14:paraId="6CE08556" w14:textId="77777777" w:rsidR="00596C94" w:rsidRPr="00021021" w:rsidRDefault="00596C94" w:rsidP="00596C94">
            <w:pPr>
              <w:pStyle w:val="ListBullet"/>
              <w:tabs>
                <w:tab w:val="left" w:pos="851"/>
              </w:tabs>
              <w:overflowPunct/>
              <w:autoSpaceDE/>
              <w:autoSpaceDN/>
              <w:adjustRightInd/>
              <w:spacing w:before="120" w:after="120"/>
              <w:ind w:left="0" w:firstLine="0"/>
              <w:contextualSpacing/>
              <w:jc w:val="center"/>
              <w:textAlignment w:val="auto"/>
            </w:pPr>
            <w:r w:rsidRPr="00021021">
              <w:t>FR</w:t>
            </w:r>
          </w:p>
        </w:tc>
        <w:tc>
          <w:tcPr>
            <w:tcW w:w="2268" w:type="dxa"/>
            <w:shd w:val="clear" w:color="auto" w:fill="BFBFBF" w:themeFill="background1" w:themeFillShade="BF"/>
          </w:tcPr>
          <w:p w14:paraId="7C682528" w14:textId="77777777" w:rsidR="00596C94" w:rsidRPr="00021021" w:rsidRDefault="00596C94" w:rsidP="00596C94">
            <w:pPr>
              <w:pStyle w:val="ListBullet"/>
              <w:tabs>
                <w:tab w:val="left" w:pos="851"/>
              </w:tabs>
              <w:overflowPunct/>
              <w:autoSpaceDE/>
              <w:autoSpaceDN/>
              <w:adjustRightInd/>
              <w:spacing w:before="120" w:after="120"/>
              <w:ind w:left="0" w:firstLine="0"/>
              <w:contextualSpacing/>
              <w:jc w:val="center"/>
              <w:textAlignment w:val="auto"/>
            </w:pPr>
            <w:r w:rsidRPr="00021021">
              <w:t>Range</w:t>
            </w:r>
          </w:p>
        </w:tc>
        <w:tc>
          <w:tcPr>
            <w:tcW w:w="1701" w:type="dxa"/>
            <w:shd w:val="clear" w:color="auto" w:fill="BFBFBF" w:themeFill="background1" w:themeFillShade="BF"/>
          </w:tcPr>
          <w:p w14:paraId="4266658B" w14:textId="77777777" w:rsidR="00596C94" w:rsidRPr="00021021" w:rsidRDefault="00596C94" w:rsidP="00596C94">
            <w:pPr>
              <w:pStyle w:val="ListBullet"/>
              <w:tabs>
                <w:tab w:val="left" w:pos="851"/>
              </w:tabs>
              <w:overflowPunct/>
              <w:autoSpaceDE/>
              <w:autoSpaceDN/>
              <w:adjustRightInd/>
              <w:spacing w:before="120" w:after="120"/>
              <w:ind w:left="0" w:firstLine="0"/>
              <w:contextualSpacing/>
              <w:jc w:val="center"/>
              <w:textAlignment w:val="auto"/>
            </w:pPr>
            <w:r w:rsidRPr="00021021">
              <w:t>SCS (kHz)</w:t>
            </w:r>
          </w:p>
        </w:tc>
        <w:tc>
          <w:tcPr>
            <w:tcW w:w="1701" w:type="dxa"/>
            <w:shd w:val="clear" w:color="auto" w:fill="BFBFBF" w:themeFill="background1" w:themeFillShade="BF"/>
          </w:tcPr>
          <w:p w14:paraId="6D5262A1" w14:textId="77777777" w:rsidR="00596C94" w:rsidRPr="00021021" w:rsidRDefault="00596C94" w:rsidP="00596C94">
            <w:pPr>
              <w:pStyle w:val="ListBullet"/>
              <w:tabs>
                <w:tab w:val="left" w:pos="851"/>
              </w:tabs>
              <w:overflowPunct/>
              <w:autoSpaceDE/>
              <w:autoSpaceDN/>
              <w:adjustRightInd/>
              <w:spacing w:before="120" w:after="120"/>
              <w:ind w:left="0" w:firstLine="0"/>
              <w:contextualSpacing/>
              <w:jc w:val="center"/>
              <w:textAlignment w:val="auto"/>
            </w:pPr>
            <w:r w:rsidRPr="00021021">
              <w:t>Max CBW (MHz)</w:t>
            </w:r>
          </w:p>
        </w:tc>
      </w:tr>
      <w:tr w:rsidR="00596C94" w:rsidRPr="00021021" w14:paraId="5F29A5D2" w14:textId="77777777" w:rsidTr="0048606A">
        <w:trPr>
          <w:cantSplit/>
          <w:trHeight w:val="300"/>
        </w:trPr>
        <w:tc>
          <w:tcPr>
            <w:tcW w:w="1336" w:type="dxa"/>
            <w:vMerge w:val="restart"/>
            <w:vAlign w:val="center"/>
          </w:tcPr>
          <w:p w14:paraId="2AE195ED"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r w:rsidRPr="00021021">
              <w:t>FR1</w:t>
            </w:r>
          </w:p>
        </w:tc>
        <w:tc>
          <w:tcPr>
            <w:tcW w:w="2268" w:type="dxa"/>
            <w:vMerge w:val="restart"/>
            <w:shd w:val="clear" w:color="auto" w:fill="C5E0B3" w:themeFill="accent6" w:themeFillTint="66"/>
            <w:vAlign w:val="center"/>
          </w:tcPr>
          <w:p w14:paraId="2B417FEA" w14:textId="77777777" w:rsidR="00596C94" w:rsidRPr="000B3EFC" w:rsidRDefault="00596C94" w:rsidP="00596C94">
            <w:pPr>
              <w:pStyle w:val="ListBullet"/>
              <w:tabs>
                <w:tab w:val="left" w:pos="851"/>
              </w:tabs>
              <w:overflowPunct/>
              <w:autoSpaceDE/>
              <w:autoSpaceDN/>
              <w:adjustRightInd/>
              <w:spacing w:before="60" w:after="60"/>
              <w:ind w:left="0" w:firstLine="0"/>
              <w:contextualSpacing/>
              <w:jc w:val="center"/>
              <w:textAlignment w:val="auto"/>
            </w:pPr>
            <w:r w:rsidRPr="000B3EFC">
              <w:t>Sub 6GHz</w:t>
            </w:r>
          </w:p>
          <w:p w14:paraId="0AD4FB91" w14:textId="77777777" w:rsidR="00596C94" w:rsidRPr="000B3EFC" w:rsidRDefault="00596C94" w:rsidP="00596C94">
            <w:pPr>
              <w:pStyle w:val="ListBullet"/>
              <w:tabs>
                <w:tab w:val="left" w:pos="851"/>
              </w:tabs>
              <w:overflowPunct/>
              <w:autoSpaceDE/>
              <w:autoSpaceDN/>
              <w:adjustRightInd/>
              <w:spacing w:before="60" w:after="60"/>
              <w:ind w:left="0" w:firstLine="0"/>
              <w:contextualSpacing/>
              <w:jc w:val="center"/>
              <w:textAlignment w:val="auto"/>
            </w:pPr>
            <w:r w:rsidRPr="000B3EFC">
              <w:t>(4</w:t>
            </w:r>
            <w:r>
              <w:t>1</w:t>
            </w:r>
            <w:r w:rsidRPr="000B3EFC" w:rsidDel="00E622A3">
              <w:t>0</w:t>
            </w:r>
            <w:r w:rsidRPr="000B3EFC">
              <w:t xml:space="preserve"> MHz – 6.425 GHz)</w:t>
            </w:r>
          </w:p>
        </w:tc>
        <w:tc>
          <w:tcPr>
            <w:tcW w:w="1701" w:type="dxa"/>
            <w:shd w:val="clear" w:color="auto" w:fill="C5E0B3" w:themeFill="accent6" w:themeFillTint="66"/>
            <w:vAlign w:val="center"/>
          </w:tcPr>
          <w:p w14:paraId="27C3AF10" w14:textId="77777777" w:rsidR="00596C94" w:rsidRPr="000B3EFC" w:rsidRDefault="00596C94" w:rsidP="00596C94">
            <w:pPr>
              <w:pStyle w:val="ListBullet"/>
              <w:tabs>
                <w:tab w:val="left" w:pos="851"/>
              </w:tabs>
              <w:overflowPunct/>
              <w:autoSpaceDE/>
              <w:autoSpaceDN/>
              <w:adjustRightInd/>
              <w:spacing w:before="60" w:after="60"/>
              <w:ind w:left="0" w:firstLine="0"/>
              <w:contextualSpacing/>
              <w:jc w:val="center"/>
              <w:textAlignment w:val="auto"/>
            </w:pPr>
            <w:r w:rsidRPr="002C1544">
              <w:rPr>
                <w:b/>
                <w:u w:val="single"/>
              </w:rPr>
              <w:t>15</w:t>
            </w:r>
            <w:r w:rsidRPr="000B3EFC">
              <w:t xml:space="preserve"> (FDD)</w:t>
            </w:r>
          </w:p>
        </w:tc>
        <w:tc>
          <w:tcPr>
            <w:tcW w:w="1701" w:type="dxa"/>
            <w:shd w:val="clear" w:color="auto" w:fill="C5E0B3" w:themeFill="accent6" w:themeFillTint="66"/>
            <w:vAlign w:val="center"/>
          </w:tcPr>
          <w:p w14:paraId="191FB3EF" w14:textId="77777777" w:rsidR="00596C94" w:rsidRPr="000B3EFC" w:rsidRDefault="00596C94" w:rsidP="00596C94">
            <w:pPr>
              <w:pStyle w:val="ListBullet"/>
              <w:tabs>
                <w:tab w:val="left" w:pos="851"/>
              </w:tabs>
              <w:overflowPunct/>
              <w:autoSpaceDE/>
              <w:autoSpaceDN/>
              <w:adjustRightInd/>
              <w:spacing w:before="60" w:after="60"/>
              <w:ind w:left="0" w:firstLine="0"/>
              <w:contextualSpacing/>
              <w:jc w:val="center"/>
              <w:textAlignment w:val="auto"/>
            </w:pPr>
            <w:r w:rsidRPr="000B3EFC">
              <w:t>100</w:t>
            </w:r>
          </w:p>
        </w:tc>
      </w:tr>
      <w:tr w:rsidR="00596C94" w:rsidRPr="00021021" w14:paraId="4D78613F" w14:textId="77777777" w:rsidTr="0048606A">
        <w:trPr>
          <w:cantSplit/>
          <w:trHeight w:val="300"/>
        </w:trPr>
        <w:tc>
          <w:tcPr>
            <w:tcW w:w="1336" w:type="dxa"/>
            <w:vMerge/>
            <w:vAlign w:val="center"/>
          </w:tcPr>
          <w:p w14:paraId="5BCB5DCD"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p>
        </w:tc>
        <w:tc>
          <w:tcPr>
            <w:tcW w:w="2268" w:type="dxa"/>
            <w:vMerge/>
            <w:shd w:val="clear" w:color="auto" w:fill="C5E0B3" w:themeFill="accent6" w:themeFillTint="66"/>
            <w:vAlign w:val="center"/>
          </w:tcPr>
          <w:p w14:paraId="23DA6C9F" w14:textId="77777777" w:rsidR="00596C94" w:rsidRPr="000B3EFC" w:rsidRDefault="00596C94" w:rsidP="00596C94">
            <w:pPr>
              <w:pStyle w:val="ListBullet"/>
              <w:tabs>
                <w:tab w:val="left" w:pos="851"/>
              </w:tabs>
              <w:overflowPunct/>
              <w:autoSpaceDE/>
              <w:autoSpaceDN/>
              <w:adjustRightInd/>
              <w:spacing w:before="60" w:after="60"/>
              <w:ind w:left="0" w:firstLine="0"/>
              <w:contextualSpacing/>
              <w:jc w:val="center"/>
              <w:textAlignment w:val="auto"/>
            </w:pPr>
          </w:p>
        </w:tc>
        <w:tc>
          <w:tcPr>
            <w:tcW w:w="1701" w:type="dxa"/>
            <w:shd w:val="clear" w:color="auto" w:fill="C5E0B3" w:themeFill="accent6" w:themeFillTint="66"/>
            <w:vAlign w:val="center"/>
          </w:tcPr>
          <w:p w14:paraId="0D85DFDD" w14:textId="77777777" w:rsidR="00596C94" w:rsidRPr="000B3EFC" w:rsidRDefault="00596C94" w:rsidP="00596C94">
            <w:pPr>
              <w:pStyle w:val="ListBullet"/>
              <w:tabs>
                <w:tab w:val="left" w:pos="851"/>
              </w:tabs>
              <w:overflowPunct/>
              <w:autoSpaceDE/>
              <w:autoSpaceDN/>
              <w:adjustRightInd/>
              <w:spacing w:before="60" w:after="60"/>
              <w:ind w:left="0" w:firstLine="0"/>
              <w:contextualSpacing/>
              <w:jc w:val="center"/>
              <w:textAlignment w:val="auto"/>
            </w:pPr>
            <w:r w:rsidRPr="002C1544">
              <w:rPr>
                <w:b/>
                <w:u w:val="single"/>
              </w:rPr>
              <w:t>30</w:t>
            </w:r>
            <w:r w:rsidRPr="000B3EFC">
              <w:t xml:space="preserve"> (TDD)</w:t>
            </w:r>
          </w:p>
        </w:tc>
        <w:tc>
          <w:tcPr>
            <w:tcW w:w="1701" w:type="dxa"/>
            <w:shd w:val="clear" w:color="auto" w:fill="C5E0B3" w:themeFill="accent6" w:themeFillTint="66"/>
            <w:vAlign w:val="center"/>
          </w:tcPr>
          <w:p w14:paraId="63E9DB6D" w14:textId="77777777" w:rsidR="00596C94" w:rsidRPr="000B3EFC" w:rsidRDefault="00596C94" w:rsidP="00596C94">
            <w:pPr>
              <w:pStyle w:val="ListBullet"/>
              <w:tabs>
                <w:tab w:val="left" w:pos="851"/>
              </w:tabs>
              <w:overflowPunct/>
              <w:autoSpaceDE/>
              <w:autoSpaceDN/>
              <w:adjustRightInd/>
              <w:spacing w:before="60" w:after="60"/>
              <w:ind w:left="0" w:firstLine="0"/>
              <w:contextualSpacing/>
              <w:jc w:val="center"/>
              <w:textAlignment w:val="auto"/>
            </w:pPr>
            <w:r w:rsidRPr="000B3EFC">
              <w:t>200</w:t>
            </w:r>
          </w:p>
        </w:tc>
      </w:tr>
      <w:tr w:rsidR="00596C94" w:rsidRPr="00021021" w14:paraId="66AA1633" w14:textId="77777777" w:rsidTr="0048606A">
        <w:trPr>
          <w:cantSplit/>
          <w:trHeight w:val="299"/>
        </w:trPr>
        <w:tc>
          <w:tcPr>
            <w:tcW w:w="1336" w:type="dxa"/>
            <w:vMerge/>
            <w:vAlign w:val="center"/>
          </w:tcPr>
          <w:p w14:paraId="1E379D75"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p>
        </w:tc>
        <w:tc>
          <w:tcPr>
            <w:tcW w:w="2268" w:type="dxa"/>
            <w:vMerge w:val="restart"/>
            <w:shd w:val="clear" w:color="auto" w:fill="C5E0B3" w:themeFill="accent6" w:themeFillTint="66"/>
            <w:vAlign w:val="center"/>
          </w:tcPr>
          <w:p w14:paraId="56A056BD" w14:textId="77777777" w:rsidR="00596C94" w:rsidRDefault="00596C94" w:rsidP="00596C94">
            <w:pPr>
              <w:pStyle w:val="ListBullet"/>
              <w:tabs>
                <w:tab w:val="left" w:pos="851"/>
              </w:tabs>
              <w:spacing w:before="60" w:after="60"/>
              <w:ind w:left="0" w:firstLine="0"/>
              <w:contextualSpacing/>
              <w:jc w:val="center"/>
            </w:pPr>
            <w:r w:rsidRPr="000B3EFC">
              <w:t>Around 7GHz</w:t>
            </w:r>
          </w:p>
          <w:p w14:paraId="602C6434" w14:textId="77777777" w:rsidR="00596C94" w:rsidRPr="000B3EFC" w:rsidRDefault="00596C94" w:rsidP="00596C94">
            <w:pPr>
              <w:pStyle w:val="ListBullet"/>
              <w:tabs>
                <w:tab w:val="left" w:pos="851"/>
              </w:tabs>
              <w:spacing w:before="60" w:after="60"/>
              <w:ind w:left="0" w:firstLine="0"/>
              <w:contextualSpacing/>
              <w:jc w:val="center"/>
              <w:rPr>
                <w:vertAlign w:val="superscript"/>
              </w:rPr>
            </w:pPr>
            <w:r>
              <w:t>(</w:t>
            </w:r>
            <w:r w:rsidRPr="00021021">
              <w:t>6.425</w:t>
            </w:r>
            <w:r>
              <w:t xml:space="preserve"> – 8.4</w:t>
            </w:r>
            <w:r w:rsidRPr="00021021">
              <w:t xml:space="preserve"> GHz</w:t>
            </w:r>
            <w:r>
              <w:t>)</w:t>
            </w:r>
          </w:p>
        </w:tc>
        <w:tc>
          <w:tcPr>
            <w:tcW w:w="1701" w:type="dxa"/>
            <w:vMerge w:val="restart"/>
            <w:shd w:val="clear" w:color="auto" w:fill="C5E0B3" w:themeFill="accent6" w:themeFillTint="66"/>
            <w:vAlign w:val="center"/>
          </w:tcPr>
          <w:p w14:paraId="220D0D0A" w14:textId="77777777" w:rsidR="00596C94" w:rsidRPr="002C1544" w:rsidRDefault="00596C94" w:rsidP="00596C94">
            <w:pPr>
              <w:pStyle w:val="ListBullet"/>
              <w:tabs>
                <w:tab w:val="left" w:pos="851"/>
              </w:tabs>
              <w:overflowPunct/>
              <w:autoSpaceDE/>
              <w:autoSpaceDN/>
              <w:adjustRightInd/>
              <w:spacing w:after="0"/>
              <w:ind w:left="0" w:firstLine="0"/>
              <w:contextualSpacing/>
              <w:jc w:val="center"/>
              <w:textAlignment w:val="auto"/>
              <w:rPr>
                <w:b/>
                <w:u w:val="single"/>
                <w:vertAlign w:val="superscript"/>
              </w:rPr>
            </w:pPr>
            <w:r w:rsidRPr="002C1544">
              <w:rPr>
                <w:b/>
                <w:u w:val="single"/>
              </w:rPr>
              <w:t>30</w:t>
            </w:r>
          </w:p>
        </w:tc>
        <w:tc>
          <w:tcPr>
            <w:tcW w:w="1701" w:type="dxa"/>
            <w:vMerge w:val="restart"/>
            <w:shd w:val="clear" w:color="auto" w:fill="C5E0B3" w:themeFill="accent6" w:themeFillTint="66"/>
            <w:vAlign w:val="center"/>
          </w:tcPr>
          <w:p w14:paraId="69B9EC8E" w14:textId="77777777" w:rsidR="00596C94" w:rsidRPr="009707F8" w:rsidRDefault="00596C94" w:rsidP="00596C94">
            <w:pPr>
              <w:pStyle w:val="ListBullet"/>
              <w:tabs>
                <w:tab w:val="left" w:pos="851"/>
              </w:tabs>
              <w:overflowPunct/>
              <w:autoSpaceDE/>
              <w:autoSpaceDN/>
              <w:adjustRightInd/>
              <w:spacing w:after="0"/>
              <w:ind w:left="0" w:firstLine="0"/>
              <w:contextualSpacing/>
              <w:jc w:val="center"/>
              <w:textAlignment w:val="auto"/>
              <w:rPr>
                <w:b/>
                <w:u w:val="single"/>
              </w:rPr>
            </w:pPr>
            <w:r w:rsidRPr="009707F8">
              <w:rPr>
                <w:b/>
                <w:u w:val="single"/>
              </w:rPr>
              <w:t>400</w:t>
            </w:r>
          </w:p>
        </w:tc>
      </w:tr>
      <w:tr w:rsidR="00596C94" w:rsidRPr="00021021" w14:paraId="571944F8" w14:textId="77777777" w:rsidTr="0048606A">
        <w:trPr>
          <w:cantSplit/>
          <w:trHeight w:val="230"/>
        </w:trPr>
        <w:tc>
          <w:tcPr>
            <w:tcW w:w="1336" w:type="dxa"/>
            <w:vMerge w:val="restart"/>
            <w:vAlign w:val="center"/>
          </w:tcPr>
          <w:p w14:paraId="2622995E"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r w:rsidRPr="00021021">
              <w:t>New FR(s)</w:t>
            </w:r>
          </w:p>
        </w:tc>
        <w:tc>
          <w:tcPr>
            <w:tcW w:w="2268" w:type="dxa"/>
            <w:vMerge/>
            <w:shd w:val="clear" w:color="auto" w:fill="C5E0B3" w:themeFill="accent6" w:themeFillTint="66"/>
            <w:vAlign w:val="center"/>
          </w:tcPr>
          <w:p w14:paraId="186261C6"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p>
        </w:tc>
        <w:tc>
          <w:tcPr>
            <w:tcW w:w="1701" w:type="dxa"/>
            <w:vMerge/>
            <w:shd w:val="clear" w:color="auto" w:fill="C5E0B3" w:themeFill="accent6" w:themeFillTint="66"/>
            <w:vAlign w:val="center"/>
          </w:tcPr>
          <w:p w14:paraId="114DAC5E"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p>
        </w:tc>
        <w:tc>
          <w:tcPr>
            <w:tcW w:w="1701" w:type="dxa"/>
            <w:vMerge/>
            <w:shd w:val="clear" w:color="auto" w:fill="C5E0B3" w:themeFill="accent6" w:themeFillTint="66"/>
            <w:vAlign w:val="center"/>
          </w:tcPr>
          <w:p w14:paraId="6BDA57E8" w14:textId="77777777" w:rsidR="00596C94" w:rsidRPr="00021021" w:rsidRDefault="00596C94" w:rsidP="00596C94">
            <w:pPr>
              <w:pStyle w:val="ListBullet"/>
              <w:tabs>
                <w:tab w:val="left" w:pos="851"/>
              </w:tabs>
              <w:spacing w:before="60" w:after="60"/>
              <w:ind w:left="0"/>
              <w:contextualSpacing/>
              <w:jc w:val="center"/>
            </w:pPr>
          </w:p>
        </w:tc>
      </w:tr>
      <w:tr w:rsidR="00596C94" w:rsidRPr="00021021" w14:paraId="11286905" w14:textId="77777777" w:rsidTr="0048606A">
        <w:trPr>
          <w:cantSplit/>
          <w:trHeight w:val="150"/>
        </w:trPr>
        <w:tc>
          <w:tcPr>
            <w:tcW w:w="1336" w:type="dxa"/>
            <w:vMerge/>
            <w:vAlign w:val="center"/>
          </w:tcPr>
          <w:p w14:paraId="7F77C8F0"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p>
        </w:tc>
        <w:tc>
          <w:tcPr>
            <w:tcW w:w="2268" w:type="dxa"/>
            <w:vMerge w:val="restart"/>
            <w:shd w:val="clear" w:color="auto" w:fill="D9E2F3" w:themeFill="accent1" w:themeFillTint="33"/>
            <w:vAlign w:val="center"/>
          </w:tcPr>
          <w:p w14:paraId="3164A024" w14:textId="77777777" w:rsidR="00596C94" w:rsidRDefault="00596C94" w:rsidP="00596C94">
            <w:pPr>
              <w:pStyle w:val="ListBullet"/>
              <w:tabs>
                <w:tab w:val="left" w:pos="851"/>
              </w:tabs>
              <w:overflowPunct/>
              <w:autoSpaceDE/>
              <w:autoSpaceDN/>
              <w:adjustRightInd/>
              <w:spacing w:before="120" w:after="120"/>
              <w:ind w:left="0" w:firstLine="0"/>
              <w:contextualSpacing/>
              <w:jc w:val="center"/>
              <w:textAlignment w:val="auto"/>
              <w:rPr>
                <w:sz w:val="18"/>
                <w:szCs w:val="18"/>
              </w:rPr>
            </w:pPr>
            <w:r w:rsidRPr="000B3EFC">
              <w:t xml:space="preserve">Around </w:t>
            </w:r>
            <w:r>
              <w:t>15</w:t>
            </w:r>
            <w:r w:rsidRPr="000B3EFC">
              <w:t>GHz</w:t>
            </w:r>
            <w:r>
              <w:rPr>
                <w:vertAlign w:val="superscript"/>
              </w:rPr>
              <w:t>†</w:t>
            </w:r>
          </w:p>
          <w:p w14:paraId="7C604FC7"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r>
              <w:t>(</w:t>
            </w:r>
            <w:r>
              <w:rPr>
                <w:sz w:val="18"/>
                <w:szCs w:val="18"/>
              </w:rPr>
              <w:t>8.4 - 24.25 GHz</w:t>
            </w:r>
            <w:r>
              <w:t>)</w:t>
            </w:r>
          </w:p>
        </w:tc>
        <w:tc>
          <w:tcPr>
            <w:tcW w:w="1701" w:type="dxa"/>
            <w:shd w:val="clear" w:color="auto" w:fill="D9E2F3" w:themeFill="accent1" w:themeFillTint="33"/>
            <w:vAlign w:val="center"/>
          </w:tcPr>
          <w:p w14:paraId="15E1892B"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r>
              <w:t>3</w:t>
            </w:r>
            <w:r w:rsidRPr="00021021">
              <w:t>0</w:t>
            </w:r>
            <w:r w:rsidRPr="00021021">
              <w:rPr>
                <w:vertAlign w:val="superscript"/>
              </w:rPr>
              <w:t>*</w:t>
            </w:r>
          </w:p>
        </w:tc>
        <w:tc>
          <w:tcPr>
            <w:tcW w:w="1701" w:type="dxa"/>
            <w:vMerge w:val="restart"/>
            <w:shd w:val="clear" w:color="auto" w:fill="D9E2F3" w:themeFill="accent1" w:themeFillTint="33"/>
            <w:vAlign w:val="center"/>
          </w:tcPr>
          <w:p w14:paraId="0858047A"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r w:rsidRPr="00021021">
              <w:t>400</w:t>
            </w:r>
          </w:p>
        </w:tc>
      </w:tr>
      <w:tr w:rsidR="00596C94" w:rsidRPr="00021021" w14:paraId="44470EFC" w14:textId="77777777" w:rsidTr="0048606A">
        <w:trPr>
          <w:cantSplit/>
          <w:trHeight w:val="150"/>
        </w:trPr>
        <w:tc>
          <w:tcPr>
            <w:tcW w:w="1336" w:type="dxa"/>
            <w:vMerge/>
            <w:vAlign w:val="center"/>
          </w:tcPr>
          <w:p w14:paraId="56519D76"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p>
        </w:tc>
        <w:tc>
          <w:tcPr>
            <w:tcW w:w="2268" w:type="dxa"/>
            <w:vMerge/>
            <w:shd w:val="clear" w:color="auto" w:fill="D9E2F3" w:themeFill="accent1" w:themeFillTint="33"/>
            <w:vAlign w:val="center"/>
          </w:tcPr>
          <w:p w14:paraId="14129DFF" w14:textId="77777777" w:rsidR="00596C94" w:rsidRPr="000B3EFC" w:rsidRDefault="00596C94" w:rsidP="00596C94">
            <w:pPr>
              <w:pStyle w:val="ListBullet"/>
              <w:tabs>
                <w:tab w:val="left" w:pos="851"/>
              </w:tabs>
              <w:spacing w:before="60" w:after="60"/>
              <w:ind w:left="0" w:firstLine="0"/>
              <w:contextualSpacing/>
              <w:jc w:val="center"/>
            </w:pPr>
          </w:p>
        </w:tc>
        <w:tc>
          <w:tcPr>
            <w:tcW w:w="1701" w:type="dxa"/>
            <w:shd w:val="clear" w:color="auto" w:fill="D9E2F3" w:themeFill="accent1" w:themeFillTint="33"/>
            <w:vAlign w:val="center"/>
          </w:tcPr>
          <w:p w14:paraId="29440938"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r w:rsidRPr="00021021">
              <w:t>60</w:t>
            </w:r>
            <w:r w:rsidRPr="00021021">
              <w:rPr>
                <w:vertAlign w:val="superscript"/>
              </w:rPr>
              <w:t>*</w:t>
            </w:r>
          </w:p>
        </w:tc>
        <w:tc>
          <w:tcPr>
            <w:tcW w:w="1701" w:type="dxa"/>
            <w:vMerge/>
            <w:shd w:val="clear" w:color="auto" w:fill="D9E2F3" w:themeFill="accent1" w:themeFillTint="33"/>
            <w:vAlign w:val="center"/>
          </w:tcPr>
          <w:p w14:paraId="32226B0F" w14:textId="77777777" w:rsidR="00596C94" w:rsidRPr="00021021" w:rsidRDefault="00596C94" w:rsidP="00596C94">
            <w:pPr>
              <w:pStyle w:val="ListBullet"/>
              <w:tabs>
                <w:tab w:val="left" w:pos="851"/>
              </w:tabs>
              <w:spacing w:before="60" w:after="60"/>
              <w:ind w:left="0"/>
              <w:contextualSpacing/>
              <w:jc w:val="center"/>
            </w:pPr>
          </w:p>
        </w:tc>
      </w:tr>
      <w:tr w:rsidR="00596C94" w:rsidRPr="00021021" w14:paraId="0D12F49E" w14:textId="77777777" w:rsidTr="0048606A">
        <w:trPr>
          <w:cantSplit/>
          <w:trHeight w:val="300"/>
        </w:trPr>
        <w:tc>
          <w:tcPr>
            <w:tcW w:w="1336" w:type="dxa"/>
            <w:vMerge/>
            <w:vAlign w:val="center"/>
          </w:tcPr>
          <w:p w14:paraId="7516A24D"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p>
        </w:tc>
        <w:tc>
          <w:tcPr>
            <w:tcW w:w="2268" w:type="dxa"/>
            <w:vMerge/>
            <w:shd w:val="clear" w:color="auto" w:fill="D9E2F3" w:themeFill="accent1" w:themeFillTint="33"/>
            <w:vAlign w:val="center"/>
          </w:tcPr>
          <w:p w14:paraId="005D4C21"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p>
        </w:tc>
        <w:tc>
          <w:tcPr>
            <w:tcW w:w="1701" w:type="dxa"/>
            <w:shd w:val="clear" w:color="auto" w:fill="D9E2F3" w:themeFill="accent1" w:themeFillTint="33"/>
            <w:vAlign w:val="center"/>
          </w:tcPr>
          <w:p w14:paraId="163E2DB0"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r w:rsidRPr="00021021">
              <w:t>120</w:t>
            </w:r>
            <w:r w:rsidRPr="00021021">
              <w:rPr>
                <w:vertAlign w:val="superscript"/>
              </w:rPr>
              <w:t>*</w:t>
            </w:r>
          </w:p>
        </w:tc>
        <w:tc>
          <w:tcPr>
            <w:tcW w:w="1701" w:type="dxa"/>
            <w:vMerge/>
            <w:shd w:val="clear" w:color="auto" w:fill="D9E2F3" w:themeFill="accent1" w:themeFillTint="33"/>
            <w:vAlign w:val="center"/>
          </w:tcPr>
          <w:p w14:paraId="6A6B660B"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p>
        </w:tc>
      </w:tr>
      <w:tr w:rsidR="00596C94" w:rsidRPr="00021021" w14:paraId="66D80C51" w14:textId="77777777" w:rsidTr="0048606A">
        <w:trPr>
          <w:cantSplit/>
          <w:trHeight w:val="300"/>
        </w:trPr>
        <w:tc>
          <w:tcPr>
            <w:tcW w:w="1336" w:type="dxa"/>
            <w:vAlign w:val="center"/>
          </w:tcPr>
          <w:p w14:paraId="2B3F10F0"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r w:rsidRPr="00021021">
              <w:t>FR2-1</w:t>
            </w:r>
          </w:p>
        </w:tc>
        <w:tc>
          <w:tcPr>
            <w:tcW w:w="2268" w:type="dxa"/>
            <w:shd w:val="clear" w:color="auto" w:fill="C5E0B3" w:themeFill="accent6" w:themeFillTint="66"/>
            <w:vAlign w:val="center"/>
          </w:tcPr>
          <w:p w14:paraId="2D79A23A"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pPr>
            <w:r w:rsidRPr="00021021">
              <w:t>24.25 – 52.6 GHz</w:t>
            </w:r>
          </w:p>
        </w:tc>
        <w:tc>
          <w:tcPr>
            <w:tcW w:w="1701" w:type="dxa"/>
            <w:shd w:val="clear" w:color="auto" w:fill="C5E0B3" w:themeFill="accent6" w:themeFillTint="66"/>
            <w:vAlign w:val="center"/>
          </w:tcPr>
          <w:p w14:paraId="2E515926" w14:textId="77777777" w:rsidR="00596C94" w:rsidRPr="002C1544" w:rsidRDefault="00596C94" w:rsidP="00596C94">
            <w:pPr>
              <w:pStyle w:val="ListBullet"/>
              <w:tabs>
                <w:tab w:val="left" w:pos="851"/>
              </w:tabs>
              <w:overflowPunct/>
              <w:autoSpaceDE/>
              <w:autoSpaceDN/>
              <w:adjustRightInd/>
              <w:spacing w:before="60" w:after="60"/>
              <w:ind w:left="0" w:firstLine="0"/>
              <w:contextualSpacing/>
              <w:jc w:val="center"/>
              <w:textAlignment w:val="auto"/>
              <w:rPr>
                <w:b/>
                <w:strike/>
                <w:color w:val="FF0000"/>
                <w:u w:val="single"/>
              </w:rPr>
            </w:pPr>
            <w:r w:rsidRPr="002C1544">
              <w:rPr>
                <w:b/>
                <w:u w:val="single"/>
              </w:rPr>
              <w:t>120</w:t>
            </w:r>
          </w:p>
        </w:tc>
        <w:tc>
          <w:tcPr>
            <w:tcW w:w="1701" w:type="dxa"/>
            <w:shd w:val="clear" w:color="auto" w:fill="C5E0B3" w:themeFill="accent6" w:themeFillTint="66"/>
            <w:vAlign w:val="center"/>
          </w:tcPr>
          <w:p w14:paraId="01D5C4A0" w14:textId="77777777" w:rsidR="00596C94" w:rsidRPr="00021021" w:rsidRDefault="00596C94" w:rsidP="00596C94">
            <w:pPr>
              <w:pStyle w:val="ListBullet"/>
              <w:tabs>
                <w:tab w:val="left" w:pos="851"/>
              </w:tabs>
              <w:overflowPunct/>
              <w:autoSpaceDE/>
              <w:autoSpaceDN/>
              <w:adjustRightInd/>
              <w:spacing w:before="60" w:after="60"/>
              <w:ind w:left="0" w:firstLine="0"/>
              <w:contextualSpacing/>
              <w:jc w:val="center"/>
              <w:textAlignment w:val="auto"/>
              <w:rPr>
                <w:strike/>
                <w:color w:val="FF0000"/>
              </w:rPr>
            </w:pPr>
            <w:r w:rsidRPr="00021021">
              <w:t>800</w:t>
            </w:r>
          </w:p>
        </w:tc>
      </w:tr>
    </w:tbl>
    <w:p w14:paraId="095D71FD" w14:textId="77777777" w:rsidR="00ED6668" w:rsidRDefault="00ED6668" w:rsidP="00596C94">
      <w:pPr>
        <w:pStyle w:val="ListBullet"/>
        <w:tabs>
          <w:tab w:val="left" w:pos="851"/>
        </w:tabs>
        <w:overflowPunct/>
        <w:autoSpaceDE/>
        <w:autoSpaceDN/>
        <w:adjustRightInd/>
        <w:spacing w:before="120" w:after="120"/>
        <w:ind w:firstLine="0"/>
        <w:contextualSpacing/>
        <w:jc w:val="center"/>
        <w:textAlignment w:val="auto"/>
        <w:rPr>
          <w:sz w:val="18"/>
          <w:szCs w:val="18"/>
        </w:rPr>
      </w:pPr>
      <w:r>
        <w:rPr>
          <w:sz w:val="18"/>
          <w:szCs w:val="18"/>
          <w:vertAlign w:val="superscript"/>
        </w:rPr>
        <w:t xml:space="preserve">* </w:t>
      </w:r>
      <w:r w:rsidRPr="00B043F6">
        <w:rPr>
          <w:sz w:val="18"/>
          <w:szCs w:val="18"/>
        </w:rPr>
        <w:t>S</w:t>
      </w:r>
      <w:r>
        <w:rPr>
          <w:sz w:val="18"/>
          <w:szCs w:val="18"/>
        </w:rPr>
        <w:t>elect one SCS per Range or sub-Range</w:t>
      </w:r>
    </w:p>
    <w:p w14:paraId="60EAB33A" w14:textId="77777777" w:rsidR="00ED6668" w:rsidRPr="00E25111" w:rsidRDefault="00ED6668" w:rsidP="00596C94">
      <w:pPr>
        <w:pStyle w:val="ListBullet"/>
        <w:tabs>
          <w:tab w:val="left" w:pos="851"/>
        </w:tabs>
        <w:overflowPunct/>
        <w:autoSpaceDE/>
        <w:autoSpaceDN/>
        <w:adjustRightInd/>
        <w:spacing w:before="120" w:after="0"/>
        <w:ind w:left="567" w:firstLine="0"/>
        <w:contextualSpacing/>
        <w:jc w:val="center"/>
        <w:textAlignment w:val="auto"/>
        <w:rPr>
          <w:sz w:val="18"/>
          <w:szCs w:val="18"/>
        </w:rPr>
      </w:pPr>
      <w:r w:rsidRPr="00E25111">
        <w:rPr>
          <w:sz w:val="18"/>
          <w:szCs w:val="18"/>
          <w:vertAlign w:val="superscript"/>
        </w:rPr>
        <w:t xml:space="preserve">** </w:t>
      </w:r>
      <w:r w:rsidRPr="00E25111">
        <w:rPr>
          <w:sz w:val="18"/>
          <w:szCs w:val="18"/>
        </w:rPr>
        <w:t>This is an implementation issue</w:t>
      </w:r>
    </w:p>
    <w:p w14:paraId="26EA9A61" w14:textId="77777777" w:rsidR="00ED6668" w:rsidRPr="00021498" w:rsidRDefault="00ED6668" w:rsidP="00596C94">
      <w:pPr>
        <w:ind w:left="568"/>
        <w:jc w:val="center"/>
        <w:rPr>
          <w:rFonts w:eastAsia="DengXian"/>
          <w:szCs w:val="16"/>
        </w:rPr>
      </w:pPr>
      <w:r w:rsidRPr="00E25111">
        <w:rPr>
          <w:vertAlign w:val="superscript"/>
        </w:rPr>
        <w:t xml:space="preserve">† </w:t>
      </w:r>
      <w:r w:rsidRPr="00E25111">
        <w:rPr>
          <w:sz w:val="18"/>
          <w:szCs w:val="18"/>
        </w:rPr>
        <w:t>This range can be divided into several sub-Ranges, each with its own SCS.</w:t>
      </w:r>
    </w:p>
    <w:p w14:paraId="1FA0729E" w14:textId="77777777" w:rsidR="00ED6668" w:rsidRDefault="00ED6668" w:rsidP="00C729F7"/>
    <w:p w14:paraId="389A1914" w14:textId="77777777" w:rsidR="00ED6668" w:rsidRDefault="00ED6668" w:rsidP="00C729F7"/>
    <w:p w14:paraId="2367B6EB" w14:textId="77777777" w:rsidR="00ED6668" w:rsidRDefault="00ED6668" w:rsidP="00C729F7"/>
    <w:p w14:paraId="4D8B963D" w14:textId="55996360" w:rsidR="00473C8B" w:rsidRDefault="00473C8B" w:rsidP="00473C8B">
      <w:pPr>
        <w:pStyle w:val="RAN4observation0"/>
      </w:pPr>
      <w:bookmarkStart w:id="5" w:name="_Toc213417873"/>
      <w:r>
        <w:t xml:space="preserve">Other WGs are </w:t>
      </w:r>
      <w:r w:rsidR="007909DA">
        <w:t>already using sub-ranges of the current frequency ranges for discussion.</w:t>
      </w:r>
      <w:bookmarkEnd w:id="5"/>
    </w:p>
    <w:p w14:paraId="428A2292" w14:textId="3A7DB439" w:rsidR="00ED6668" w:rsidRDefault="00C82A93" w:rsidP="00C729F7">
      <w:r>
        <w:t xml:space="preserve">From </w:t>
      </w:r>
      <w:r w:rsidRPr="00C82A93">
        <w:t>Table 2.1.2-1</w:t>
      </w:r>
      <w:r>
        <w:t xml:space="preserve"> it can be deduced that th</w:t>
      </w:r>
      <w:r w:rsidR="00214B61">
        <w:t xml:space="preserve">ere are some </w:t>
      </w:r>
      <w:r w:rsidR="003302FD">
        <w:t xml:space="preserve">sub-ranges used for the de discussion within </w:t>
      </w:r>
      <w:r w:rsidR="000A48C2">
        <w:t>other groups</w:t>
      </w:r>
      <w:r w:rsidR="007A3DE6">
        <w:t>.</w:t>
      </w:r>
      <w:r w:rsidR="00FC093B">
        <w:t xml:space="preserve"> </w:t>
      </w:r>
      <w:r w:rsidR="00F62091">
        <w:t xml:space="preserve">From this it can in our view be </w:t>
      </w:r>
      <w:r w:rsidR="002D165D">
        <w:t>concluded</w:t>
      </w:r>
      <w:r w:rsidR="00F62091">
        <w:t xml:space="preserve"> that </w:t>
      </w:r>
      <w:r w:rsidR="002D165D">
        <w:t xml:space="preserve">at least the band to be defined around 7GHz can be included into </w:t>
      </w:r>
      <w:r w:rsidR="00DF18A2">
        <w:t>FR</w:t>
      </w:r>
      <w:r w:rsidR="00473C8B">
        <w:t>1.</w:t>
      </w:r>
      <w:r w:rsidR="001C6390">
        <w:t xml:space="preserve"> We base this on the similarity </w:t>
      </w:r>
      <w:r w:rsidR="00ED308F">
        <w:t>to the operation in existing bands not far below in frequency which already is defined as FR1 bands.</w:t>
      </w:r>
    </w:p>
    <w:p w14:paraId="76D0CB02" w14:textId="6E521E21" w:rsidR="00473C8B" w:rsidRDefault="00DF18A2" w:rsidP="007909DA">
      <w:pPr>
        <w:pStyle w:val="RAN4proposal"/>
      </w:pPr>
      <w:bookmarkStart w:id="6" w:name="_Toc213417874"/>
      <w:r>
        <w:t>RAN4 shall conclude that a</w:t>
      </w:r>
      <w:r w:rsidR="007909DA">
        <w:t xml:space="preserve"> band around 7 GHz can be </w:t>
      </w:r>
      <w:r>
        <w:t>included into FR1</w:t>
      </w:r>
      <w:bookmarkEnd w:id="6"/>
    </w:p>
    <w:p w14:paraId="4347FDA3" w14:textId="5C965DCA" w:rsidR="008A5390" w:rsidRPr="008A5390" w:rsidRDefault="008A5390" w:rsidP="008A5390">
      <w:r>
        <w:t>Whe</w:t>
      </w:r>
      <w:r w:rsidR="009D799E">
        <w:t xml:space="preserve">n it comes to the general frequency range framework for 6G multiple options were captured in the feature lead summary </w:t>
      </w:r>
      <w:r w:rsidR="00C646CC">
        <w:t xml:space="preserve">[6] </w:t>
      </w:r>
      <w:r w:rsidR="0045287E">
        <w:t xml:space="preserve">as well as some drawn during ad-hoc sessions. One of the proposals presented in the ad-hoc session at RAN4#116bis is shown in </w:t>
      </w:r>
      <w:r w:rsidR="0045287E" w:rsidRPr="0045287E">
        <w:t>Figure 2.1.2-1</w:t>
      </w:r>
      <w:r w:rsidR="0045287E">
        <w:t xml:space="preserve">. </w:t>
      </w:r>
    </w:p>
    <w:p w14:paraId="4EF6F5B1" w14:textId="7CCCD0D7" w:rsidR="00ED6668" w:rsidRDefault="00D702DF" w:rsidP="00D702DF">
      <w:pPr>
        <w:jc w:val="center"/>
      </w:pPr>
      <w:r w:rsidRPr="00D702DF">
        <w:rPr>
          <w:noProof/>
        </w:rPr>
        <w:drawing>
          <wp:inline distT="0" distB="0" distL="0" distR="0" wp14:anchorId="730D4293" wp14:editId="56094708">
            <wp:extent cx="4781550" cy="1425972"/>
            <wp:effectExtent l="0" t="0" r="0" b="3175"/>
            <wp:docPr id="120666590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665902" name="Picture 1" descr="A screenshot of a computer&#10;&#10;AI-generated content may be incorrect."/>
                    <pic:cNvPicPr/>
                  </pic:nvPicPr>
                  <pic:blipFill>
                    <a:blip r:embed="rId14"/>
                    <a:stretch>
                      <a:fillRect/>
                    </a:stretch>
                  </pic:blipFill>
                  <pic:spPr>
                    <a:xfrm>
                      <a:off x="0" y="0"/>
                      <a:ext cx="4795218" cy="1430048"/>
                    </a:xfrm>
                    <a:prstGeom prst="rect">
                      <a:avLst/>
                    </a:prstGeom>
                  </pic:spPr>
                </pic:pic>
              </a:graphicData>
            </a:graphic>
          </wp:inline>
        </w:drawing>
      </w:r>
    </w:p>
    <w:p w14:paraId="1CDC4B96" w14:textId="78154718" w:rsidR="00D702DF" w:rsidRDefault="00D702DF" w:rsidP="00D702DF">
      <w:pPr>
        <w:jc w:val="center"/>
        <w:rPr>
          <w:b/>
          <w:bCs/>
        </w:rPr>
      </w:pPr>
      <w:r w:rsidRPr="00DA6098">
        <w:rPr>
          <w:b/>
          <w:bCs/>
        </w:rPr>
        <w:t>Figure 2.</w:t>
      </w:r>
      <w:r>
        <w:rPr>
          <w:b/>
          <w:bCs/>
        </w:rPr>
        <w:t>1</w:t>
      </w:r>
      <w:r w:rsidRPr="00DA6098">
        <w:rPr>
          <w:b/>
          <w:bCs/>
        </w:rPr>
        <w:t>.</w:t>
      </w:r>
      <w:r>
        <w:rPr>
          <w:b/>
          <w:bCs/>
        </w:rPr>
        <w:t>2</w:t>
      </w:r>
      <w:r w:rsidRPr="00DA6098">
        <w:rPr>
          <w:b/>
          <w:bCs/>
        </w:rPr>
        <w:t xml:space="preserve">-1 </w:t>
      </w:r>
      <w:r>
        <w:rPr>
          <w:b/>
          <w:bCs/>
        </w:rPr>
        <w:t xml:space="preserve">Proposal for framework of </w:t>
      </w:r>
      <w:r w:rsidR="001A75FE">
        <w:rPr>
          <w:b/>
          <w:bCs/>
        </w:rPr>
        <w:t>Alternative 1</w:t>
      </w:r>
    </w:p>
    <w:p w14:paraId="136ECDDD" w14:textId="29F65236" w:rsidR="00D702DF" w:rsidRDefault="00BD3DE7" w:rsidP="00BD3DE7">
      <w:r>
        <w:t xml:space="preserve">The intention with the proposal in </w:t>
      </w:r>
      <w:r w:rsidRPr="00BD3DE7">
        <w:t xml:space="preserve">Figure 2.1.2-1 </w:t>
      </w:r>
      <w:r>
        <w:t xml:space="preserve">is that </w:t>
      </w:r>
      <w:r w:rsidR="00B15471">
        <w:t xml:space="preserve">FR1 is extended upwards towards frequency point Y where also FR2 is extended downwards towards. </w:t>
      </w:r>
      <w:r w:rsidR="00C35B7D">
        <w:t>FR2 is keeping FR2-1</w:t>
      </w:r>
      <w:r w:rsidR="00A072CE">
        <w:t xml:space="preserve"> for the extended range as the overall FR2 range is then possible to extend upwards if needed during t</w:t>
      </w:r>
      <w:r w:rsidR="002E0B2A">
        <w:t xml:space="preserve">he 6G timeframe. FR1 is then intended to cover multiple sub-ranges denoted FR1-1, FR1-2 and if needed even more to separate </w:t>
      </w:r>
      <w:r w:rsidR="00BE1E29">
        <w:t xml:space="preserve">the FR1 range based on additional </w:t>
      </w:r>
      <w:proofErr w:type="gramStart"/>
      <w:r w:rsidR="00BE1E29">
        <w:t>criteria’s</w:t>
      </w:r>
      <w:proofErr w:type="gramEnd"/>
      <w:r w:rsidR="00BE1E29">
        <w:t xml:space="preserve"> as numerology, </w:t>
      </w:r>
      <w:r w:rsidR="00954939">
        <w:t>regulations etc.</w:t>
      </w:r>
    </w:p>
    <w:p w14:paraId="5BDEDDF6" w14:textId="6AEDC273" w:rsidR="001A75FE" w:rsidRDefault="00197A7F" w:rsidP="009B04F7">
      <w:r>
        <w:t xml:space="preserve">A similar alternative to this framework is shown in </w:t>
      </w:r>
      <w:r w:rsidRPr="00197A7F">
        <w:t>Figure 2.1.2-1</w:t>
      </w:r>
      <w:r>
        <w:t xml:space="preserve"> where </w:t>
      </w:r>
      <w:r w:rsidR="009B04F7">
        <w:t>the difference is that FR2-1 is kept unchanged and a new FR2-0 is added below this to contain the extension of FR2 downwards towards frequency point Y.</w:t>
      </w:r>
    </w:p>
    <w:p w14:paraId="7004AE4A" w14:textId="68D6066E" w:rsidR="001A75FE" w:rsidRDefault="001A75FE" w:rsidP="00D702DF">
      <w:pPr>
        <w:jc w:val="center"/>
      </w:pPr>
      <w:r w:rsidRPr="001A75FE">
        <w:rPr>
          <w:noProof/>
        </w:rPr>
        <w:drawing>
          <wp:inline distT="0" distB="0" distL="0" distR="0" wp14:anchorId="75C19242" wp14:editId="390846F0">
            <wp:extent cx="6113145" cy="1465580"/>
            <wp:effectExtent l="0" t="0" r="1905" b="1270"/>
            <wp:docPr id="1027667284" name="Picture 1" descr="A white rectangular object with red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667284" name="Picture 1" descr="A white rectangular object with red and black text&#10;&#10;AI-generated content may be incorrect."/>
                    <pic:cNvPicPr/>
                  </pic:nvPicPr>
                  <pic:blipFill>
                    <a:blip r:embed="rId15"/>
                    <a:stretch>
                      <a:fillRect/>
                    </a:stretch>
                  </pic:blipFill>
                  <pic:spPr>
                    <a:xfrm>
                      <a:off x="0" y="0"/>
                      <a:ext cx="6113145" cy="1465580"/>
                    </a:xfrm>
                    <a:prstGeom prst="rect">
                      <a:avLst/>
                    </a:prstGeom>
                  </pic:spPr>
                </pic:pic>
              </a:graphicData>
            </a:graphic>
          </wp:inline>
        </w:drawing>
      </w:r>
    </w:p>
    <w:p w14:paraId="3C272729" w14:textId="3CD7CC9C" w:rsidR="001A75FE" w:rsidRPr="004814CF" w:rsidRDefault="001A75FE" w:rsidP="004814CF">
      <w:pPr>
        <w:jc w:val="center"/>
        <w:rPr>
          <w:b/>
          <w:bCs/>
        </w:rPr>
      </w:pPr>
      <w:r w:rsidRPr="00DA6098">
        <w:rPr>
          <w:b/>
          <w:bCs/>
        </w:rPr>
        <w:t>Figure 2.</w:t>
      </w:r>
      <w:r>
        <w:rPr>
          <w:b/>
          <w:bCs/>
        </w:rPr>
        <w:t>1</w:t>
      </w:r>
      <w:r w:rsidRPr="00DA6098">
        <w:rPr>
          <w:b/>
          <w:bCs/>
        </w:rPr>
        <w:t>.</w:t>
      </w:r>
      <w:r>
        <w:rPr>
          <w:b/>
          <w:bCs/>
        </w:rPr>
        <w:t>2</w:t>
      </w:r>
      <w:r w:rsidRPr="00DA6098">
        <w:rPr>
          <w:b/>
          <w:bCs/>
        </w:rPr>
        <w:t xml:space="preserve">-1 </w:t>
      </w:r>
      <w:r>
        <w:rPr>
          <w:b/>
          <w:bCs/>
        </w:rPr>
        <w:t>Proposal for framework of Alternative 2</w:t>
      </w:r>
    </w:p>
    <w:p w14:paraId="6DA0E6CE" w14:textId="154C7FEE" w:rsidR="0040576E" w:rsidRDefault="00065B2B" w:rsidP="00065B2B">
      <w:pPr>
        <w:pStyle w:val="RAN4proposal"/>
      </w:pPr>
      <w:bookmarkStart w:id="7" w:name="_Toc213417875"/>
      <w:r>
        <w:t>RAN4 shall consider the proposal of extending FR1</w:t>
      </w:r>
      <w:r w:rsidR="00E06F4F">
        <w:t xml:space="preserve"> upwards and FR2 downwards to cover the frequency range </w:t>
      </w:r>
      <w:r w:rsidR="003F06B6">
        <w:t>between</w:t>
      </w:r>
      <w:r w:rsidR="00E06F4F">
        <w:t xml:space="preserve"> FR1 </w:t>
      </w:r>
      <w:r w:rsidR="003F06B6">
        <w:t>and</w:t>
      </w:r>
      <w:r w:rsidR="00E06F4F">
        <w:t xml:space="preserve"> FR</w:t>
      </w:r>
      <w:r w:rsidR="00F40116">
        <w:t>2 as the basis for a 6G frequency range framework.</w:t>
      </w:r>
      <w:r w:rsidR="00B67B3E">
        <w:t xml:space="preserve"> This does not </w:t>
      </w:r>
      <w:r w:rsidR="00F32B20">
        <w:t>preclude</w:t>
      </w:r>
      <w:r w:rsidR="00B67B3E">
        <w:t xml:space="preserve"> the option of defining sub-ranges under FR1 and FR2</w:t>
      </w:r>
      <w:r w:rsidR="00F32B20">
        <w:t>.</w:t>
      </w:r>
      <w:bookmarkEnd w:id="7"/>
    </w:p>
    <w:p w14:paraId="4091A039" w14:textId="64215403" w:rsidR="00C729F7" w:rsidRDefault="009B04F7" w:rsidP="00C729F7">
      <w:r>
        <w:t xml:space="preserve">In our view it </w:t>
      </w:r>
      <w:r w:rsidR="00C729F7">
        <w:t>would make sense to reconsider the use of frequency ranges and their relation to specified requirements more actively.</w:t>
      </w:r>
      <w:r w:rsidR="00716EA9">
        <w:t xml:space="preserve"> This having them</w:t>
      </w:r>
      <w:r w:rsidR="00C729F7">
        <w:t xml:space="preserve"> paired to system parameter attributes as sub-carrier spacing and maximum/minimum channel bandwidth</w:t>
      </w:r>
      <w:r w:rsidR="00716EA9">
        <w:t xml:space="preserve"> etc</w:t>
      </w:r>
      <w:r w:rsidR="00C729F7">
        <w:t xml:space="preserve">. </w:t>
      </w:r>
    </w:p>
    <w:p w14:paraId="2DBC739D" w14:textId="25A07160" w:rsidR="00C729F7" w:rsidRDefault="00C729F7" w:rsidP="00BE7C5E">
      <w:pPr>
        <w:pStyle w:val="RAN4proposal"/>
      </w:pPr>
      <w:bookmarkStart w:id="8" w:name="_Toc210047000"/>
      <w:bookmarkStart w:id="9" w:name="_Toc213417876"/>
      <w:r>
        <w:t>RAN4 shall consider pa</w:t>
      </w:r>
      <w:r w:rsidR="00D53CCD">
        <w:t>i</w:t>
      </w:r>
      <w:r>
        <w:t xml:space="preserve">ring frequency </w:t>
      </w:r>
      <w:r w:rsidR="00F32B20">
        <w:t>sub-</w:t>
      </w:r>
      <w:r>
        <w:t>ranges</w:t>
      </w:r>
      <w:r w:rsidRPr="00280EC4">
        <w:t xml:space="preserve"> to specified </w:t>
      </w:r>
      <w:r>
        <w:t xml:space="preserve">assumptions and </w:t>
      </w:r>
      <w:r w:rsidRPr="00280EC4">
        <w:t>requirements</w:t>
      </w:r>
      <w:r>
        <w:t xml:space="preserve"> in 6GR.</w:t>
      </w:r>
      <w:bookmarkEnd w:id="8"/>
      <w:bookmarkEnd w:id="9"/>
    </w:p>
    <w:p w14:paraId="3E67894A" w14:textId="77777777" w:rsidR="00B05F36" w:rsidRDefault="00C729F7" w:rsidP="00B05F36">
      <w:r>
        <w:t xml:space="preserve">Furthermore, RAN4 needs to consider the potential new 6GR TN spectrum around 7GHz, 12GHz and 15GHz and its inclusion into frequency ranges or basis for new ranges. </w:t>
      </w:r>
      <w:r w:rsidR="00B05F36">
        <w:t>From our perspective it would makes sense to consider multiple ranges spanning from around 400MHz until around 52GHz. These new ranges can be influenced by the current NR ranges but not necessarily follow the same naming convention.</w:t>
      </w:r>
    </w:p>
    <w:p w14:paraId="250ABD71" w14:textId="488A9B6C" w:rsidR="00B05F36" w:rsidRDefault="00B05F36" w:rsidP="00BE7C5E">
      <w:pPr>
        <w:pStyle w:val="RAN4proposal"/>
      </w:pPr>
      <w:bookmarkStart w:id="10" w:name="_Toc213417877"/>
      <w:r w:rsidRPr="00BE7C5E">
        <w:lastRenderedPageBreak/>
        <w:t xml:space="preserve">RAN4 shall discuss a split into multiple frequency </w:t>
      </w:r>
      <w:r w:rsidR="00F32B20" w:rsidRPr="00BE7C5E">
        <w:t>sub-</w:t>
      </w:r>
      <w:r w:rsidRPr="00BE7C5E">
        <w:t>ranges spanning from around 400MHz to around 52GHz in 6GR</w:t>
      </w:r>
      <w:r>
        <w:t>.</w:t>
      </w:r>
      <w:bookmarkEnd w:id="10"/>
    </w:p>
    <w:p w14:paraId="6C3985E0" w14:textId="5C257E26" w:rsidR="004E628C" w:rsidRPr="007D33ED" w:rsidRDefault="00F015CC" w:rsidP="00BE7C5E">
      <w:r>
        <w:t xml:space="preserve">Some have proposed defining a new frequency range to cover the range between </w:t>
      </w:r>
      <w:r w:rsidRPr="00F015CC">
        <w:t xml:space="preserve">FR1 </w:t>
      </w:r>
      <w:r w:rsidR="003F06B6">
        <w:t>and</w:t>
      </w:r>
      <w:r w:rsidRPr="00F015CC">
        <w:t xml:space="preserve"> FR2</w:t>
      </w:r>
      <w:r w:rsidR="001B62DC">
        <w:t>. We do not believe this is a viable framework</w:t>
      </w:r>
      <w:r w:rsidR="00392B09">
        <w:t xml:space="preserve">. </w:t>
      </w:r>
      <w:r w:rsidR="00F71B22">
        <w:t>S</w:t>
      </w:r>
      <w:r w:rsidR="00C729F7">
        <w:t xml:space="preserve">ome are referring to </w:t>
      </w:r>
      <w:r w:rsidR="00F71B22">
        <w:t>this new</w:t>
      </w:r>
      <w:r w:rsidR="00C729F7">
        <w:t xml:space="preserve"> </w:t>
      </w:r>
      <w:r w:rsidR="00F71B22">
        <w:t>range</w:t>
      </w:r>
      <w:r w:rsidR="00C729F7">
        <w:t xml:space="preserve"> as FR3, this definition does not exist. To avoid any confusion on what it referred to it is suggested to at least within in 3GPP only to refer to agreed defined frequency ranges. </w:t>
      </w:r>
      <w:r w:rsidR="00BE7C5E">
        <w:t>This is also captured by the</w:t>
      </w:r>
      <w:r w:rsidR="004E628C">
        <w:t xml:space="preserve"> RAN4#116bis WF [4] </w:t>
      </w:r>
      <w:r w:rsidR="00BE7C5E">
        <w:t>as</w:t>
      </w:r>
      <w:r w:rsidR="004E628C">
        <w:t xml:space="preserve">: </w:t>
      </w:r>
    </w:p>
    <w:tbl>
      <w:tblPr>
        <w:tblStyle w:val="TableGrid"/>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2"/>
      </w:tblGrid>
      <w:tr w:rsidR="004E628C" w14:paraId="0F21BC46" w14:textId="77777777">
        <w:trPr>
          <w:trHeight w:val="760"/>
        </w:trPr>
        <w:tc>
          <w:tcPr>
            <w:tcW w:w="10195" w:type="dxa"/>
          </w:tcPr>
          <w:p w14:paraId="5EB8167B" w14:textId="77777777" w:rsidR="00922D43" w:rsidRPr="00922D43" w:rsidRDefault="00922D43" w:rsidP="00922D43">
            <w:pPr>
              <w:pStyle w:val="ListParagraph"/>
              <w:numPr>
                <w:ilvl w:val="0"/>
                <w:numId w:val="18"/>
              </w:numPr>
              <w:spacing w:after="120"/>
              <w:ind w:left="720"/>
              <w:contextualSpacing w:val="0"/>
              <w:rPr>
                <w:color w:val="0070C0"/>
                <w:szCs w:val="24"/>
                <w:highlight w:val="green"/>
                <w:lang w:eastAsia="zh-CN"/>
              </w:rPr>
            </w:pPr>
            <w:r w:rsidRPr="00922D43">
              <w:rPr>
                <w:rFonts w:eastAsia="SimSun"/>
                <w:color w:val="0070C0"/>
                <w:szCs w:val="24"/>
                <w:highlight w:val="green"/>
                <w:lang w:eastAsia="zh-CN"/>
              </w:rPr>
              <w:t>WF</w:t>
            </w:r>
          </w:p>
          <w:p w14:paraId="57434FD0" w14:textId="77777777" w:rsidR="00922D43" w:rsidRPr="00922D43" w:rsidRDefault="00922D43" w:rsidP="00922D43">
            <w:pPr>
              <w:pStyle w:val="ListParagraph"/>
              <w:numPr>
                <w:ilvl w:val="1"/>
                <w:numId w:val="18"/>
              </w:numPr>
              <w:spacing w:after="120"/>
              <w:ind w:left="1440"/>
              <w:contextualSpacing w:val="0"/>
              <w:rPr>
                <w:rFonts w:eastAsia="SimSun"/>
                <w:color w:val="0070C0"/>
                <w:szCs w:val="24"/>
                <w:lang w:eastAsia="zh-CN"/>
              </w:rPr>
            </w:pPr>
            <w:r w:rsidRPr="00922D43">
              <w:rPr>
                <w:rFonts w:eastAsia="SimSun"/>
                <w:color w:val="0070C0"/>
                <w:szCs w:val="24"/>
                <w:lang w:eastAsia="zh-CN"/>
              </w:rPr>
              <w:t>RAN4 encourage companies to be precise when referring to proposed frequency ranges by only using defined NR ranges as FR1, FR2-1 or FR2-2 or write the definition with frequency point(s) when referring to a proposal.</w:t>
            </w:r>
          </w:p>
          <w:p w14:paraId="0F641FB9" w14:textId="6E0DCB93" w:rsidR="004E628C" w:rsidRPr="00922D43" w:rsidRDefault="00922D43" w:rsidP="00922D43">
            <w:pPr>
              <w:pStyle w:val="ListParagraph"/>
              <w:numPr>
                <w:ilvl w:val="2"/>
                <w:numId w:val="18"/>
              </w:numPr>
              <w:spacing w:after="120"/>
              <w:contextualSpacing w:val="0"/>
              <w:rPr>
                <w:rFonts w:eastAsia="SimSun"/>
                <w:color w:val="0070C0"/>
                <w:szCs w:val="24"/>
                <w:lang w:eastAsia="zh-CN"/>
              </w:rPr>
            </w:pPr>
            <w:r w:rsidRPr="00922D43">
              <w:rPr>
                <w:rFonts w:eastAsia="SimSun"/>
                <w:color w:val="0070C0"/>
                <w:szCs w:val="24"/>
                <w:lang w:eastAsia="zh-CN"/>
              </w:rPr>
              <w:t>Note this is not related to the discussion of a band around 7 and 15 GHz</w:t>
            </w:r>
          </w:p>
        </w:tc>
      </w:tr>
    </w:tbl>
    <w:p w14:paraId="70E3BF94" w14:textId="18036098" w:rsidR="004E628C" w:rsidRPr="004E628C" w:rsidRDefault="004E628C" w:rsidP="00251BCD"/>
    <w:p w14:paraId="5F1A69C2" w14:textId="78D65518" w:rsidR="00C729F7" w:rsidRDefault="00C729F7" w:rsidP="00C729F7">
      <w:pPr>
        <w:pStyle w:val="RAN4H2"/>
      </w:pPr>
      <w:r>
        <w:t xml:space="preserve">Definition of bands and band combinations </w:t>
      </w:r>
    </w:p>
    <w:p w14:paraId="13581703" w14:textId="77777777" w:rsidR="00C729F7" w:rsidRDefault="00C729F7" w:rsidP="00C729F7">
      <w:pPr>
        <w:pStyle w:val="RAN4H3"/>
        <w:keepNext w:val="0"/>
        <w:keepLines w:val="0"/>
        <w:spacing w:before="0" w:after="160"/>
        <w:outlineLvl w:val="9"/>
      </w:pPr>
      <w:r w:rsidRPr="00FE67B3">
        <w:t>Operating</w:t>
      </w:r>
      <w:r w:rsidRPr="007236C9">
        <w:t xml:space="preserve"> band numbering</w:t>
      </w:r>
      <w:r>
        <w:t xml:space="preserve"> </w:t>
      </w:r>
    </w:p>
    <w:p w14:paraId="35779845" w14:textId="7A2E3C66" w:rsidR="00C729F7" w:rsidRDefault="00C729F7" w:rsidP="00C729F7">
      <w:r>
        <w:t xml:space="preserve">NR concept for band numbering has proven successful and very usable. This concept means that 3G, 4G, and 5G use same band number if frequency arrangement is same. LTE uses Arabic numeral, WCDMA uses Roman </w:t>
      </w:r>
      <w:proofErr w:type="gramStart"/>
      <w:r>
        <w:t>numeral</w:t>
      </w:r>
      <w:proofErr w:type="gramEnd"/>
      <w:r>
        <w:t xml:space="preserve"> and NR has prefix on “n” in front of Roman numeral. </w:t>
      </w:r>
    </w:p>
    <w:p w14:paraId="48196229" w14:textId="77777777" w:rsidR="00C729F7" w:rsidRDefault="00C729F7" w:rsidP="00C729F7">
      <w:pPr>
        <w:pStyle w:val="RAN4observation0"/>
      </w:pPr>
      <w:bookmarkStart w:id="11" w:name="_Toc210047003"/>
      <w:bookmarkStart w:id="12" w:name="_Toc213417878"/>
      <w:r w:rsidRPr="007236C9">
        <w:t xml:space="preserve">NR concept for band numbering has proven successful and very usable. This concept means that 3G, 4G, and 5G had used same band number if frequency arrangement is same. LTE uses Arabic numeral, WCDMA uses Roman </w:t>
      </w:r>
      <w:proofErr w:type="gramStart"/>
      <w:r w:rsidRPr="007236C9">
        <w:t>numeral</w:t>
      </w:r>
      <w:proofErr w:type="gramEnd"/>
      <w:r w:rsidRPr="007236C9">
        <w:t xml:space="preserve"> and NR has prefix on “n” in front of Roman numeral.</w:t>
      </w:r>
      <w:bookmarkEnd w:id="11"/>
      <w:bookmarkEnd w:id="12"/>
    </w:p>
    <w:p w14:paraId="68FF6A7A" w14:textId="27D5BB3E" w:rsidR="00D57CDC" w:rsidRPr="007D33ED" w:rsidRDefault="00D57CDC" w:rsidP="00D57CDC">
      <w:r>
        <w:t xml:space="preserve">At RAN4#116bis </w:t>
      </w:r>
      <w:r w:rsidR="00296E27">
        <w:t>it</w:t>
      </w:r>
      <w:r>
        <w:t xml:space="preserve"> was agreed</w:t>
      </w:r>
      <w:r w:rsidR="00296E27">
        <w:t xml:space="preserve"> in [4]</w:t>
      </w:r>
      <w:r>
        <w:t xml:space="preserve"> to </w:t>
      </w:r>
      <w:r w:rsidR="00DB0EC4">
        <w:t>continue using the prefix concept for band naming in 6G also</w:t>
      </w:r>
      <w:r>
        <w:t xml:space="preserve">: </w:t>
      </w:r>
    </w:p>
    <w:tbl>
      <w:tblPr>
        <w:tblStyle w:val="TableGrid"/>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2"/>
      </w:tblGrid>
      <w:tr w:rsidR="00D57CDC" w14:paraId="00190714" w14:textId="77777777">
        <w:trPr>
          <w:trHeight w:val="760"/>
        </w:trPr>
        <w:tc>
          <w:tcPr>
            <w:tcW w:w="10195" w:type="dxa"/>
          </w:tcPr>
          <w:p w14:paraId="31C99E08" w14:textId="77777777" w:rsidR="00D55BA1" w:rsidRPr="009404B7" w:rsidRDefault="00D55BA1" w:rsidP="00D55BA1">
            <w:pPr>
              <w:pStyle w:val="ListParagraph"/>
              <w:numPr>
                <w:ilvl w:val="0"/>
                <w:numId w:val="18"/>
              </w:numPr>
              <w:spacing w:after="120"/>
              <w:ind w:left="720"/>
              <w:contextualSpacing w:val="0"/>
              <w:rPr>
                <w:rFonts w:eastAsia="SimSun"/>
                <w:b/>
                <w:bCs/>
                <w:color w:val="0070C0"/>
                <w:szCs w:val="24"/>
                <w:highlight w:val="green"/>
                <w:lang w:eastAsia="zh-CN"/>
              </w:rPr>
            </w:pPr>
            <w:r w:rsidRPr="009404B7">
              <w:rPr>
                <w:rFonts w:eastAsia="SimSun"/>
                <w:b/>
                <w:bCs/>
                <w:color w:val="0070C0"/>
                <w:szCs w:val="24"/>
                <w:highlight w:val="green"/>
                <w:lang w:eastAsia="zh-CN"/>
              </w:rPr>
              <w:t>Agreement:</w:t>
            </w:r>
          </w:p>
          <w:p w14:paraId="1EC05B5F" w14:textId="77777777" w:rsidR="00D55BA1" w:rsidRPr="00D55BA1" w:rsidRDefault="00D55BA1" w:rsidP="00D55BA1">
            <w:pPr>
              <w:pStyle w:val="ListParagraph"/>
              <w:numPr>
                <w:ilvl w:val="0"/>
                <w:numId w:val="18"/>
              </w:numPr>
              <w:overflowPunct w:val="0"/>
              <w:autoSpaceDE w:val="0"/>
              <w:autoSpaceDN w:val="0"/>
              <w:adjustRightInd w:val="0"/>
              <w:spacing w:after="180"/>
              <w:contextualSpacing w:val="0"/>
              <w:textAlignment w:val="baseline"/>
              <w:rPr>
                <w:color w:val="0070C0"/>
                <w:sz w:val="18"/>
                <w:szCs w:val="24"/>
                <w:lang w:eastAsia="zh-CN"/>
              </w:rPr>
            </w:pPr>
            <w:r w:rsidRPr="00D55BA1">
              <w:rPr>
                <w:color w:val="0070C0"/>
                <w:sz w:val="18"/>
                <w:szCs w:val="24"/>
                <w:lang w:eastAsia="zh-CN"/>
              </w:rPr>
              <w:t>RAN4 shall re-use the prefix concept from NR for 6G</w:t>
            </w:r>
          </w:p>
          <w:p w14:paraId="7F9B33A4" w14:textId="639CA691" w:rsidR="00D57CDC" w:rsidRPr="00D55BA1" w:rsidRDefault="00D55BA1" w:rsidP="00D55BA1">
            <w:pPr>
              <w:pStyle w:val="ListParagraph"/>
              <w:numPr>
                <w:ilvl w:val="1"/>
                <w:numId w:val="18"/>
              </w:numPr>
              <w:overflowPunct w:val="0"/>
              <w:autoSpaceDE w:val="0"/>
              <w:autoSpaceDN w:val="0"/>
              <w:adjustRightInd w:val="0"/>
              <w:spacing w:after="180"/>
              <w:contextualSpacing w:val="0"/>
              <w:textAlignment w:val="baseline"/>
              <w:rPr>
                <w:color w:val="0070C0"/>
                <w:sz w:val="18"/>
                <w:szCs w:val="24"/>
                <w:lang w:eastAsia="zh-CN"/>
              </w:rPr>
            </w:pPr>
            <w:r w:rsidRPr="00D55BA1">
              <w:rPr>
                <w:color w:val="0070C0"/>
                <w:sz w:val="18"/>
                <w:szCs w:val="24"/>
                <w:lang w:eastAsia="zh-CN"/>
              </w:rPr>
              <w:t>Note: this agreement has no implication or limitation on the RAN1 and potential RAN4 discussion of UL and DL decoupling.</w:t>
            </w:r>
            <w:r w:rsidRPr="009404B7">
              <w:rPr>
                <w:color w:val="0070C0"/>
                <w:sz w:val="18"/>
                <w:szCs w:val="24"/>
                <w:lang w:eastAsia="zh-CN"/>
              </w:rPr>
              <w:t xml:space="preserve"> </w:t>
            </w:r>
          </w:p>
        </w:tc>
      </w:tr>
    </w:tbl>
    <w:p w14:paraId="183CDE6C" w14:textId="630ECB78" w:rsidR="00D57CDC" w:rsidRPr="00D57CDC" w:rsidRDefault="00CB49B0" w:rsidP="00D57CDC">
      <w:r>
        <w:br/>
        <w:t xml:space="preserve">The question </w:t>
      </w:r>
      <w:r w:rsidR="00026A6A">
        <w:t>on</w:t>
      </w:r>
      <w:r>
        <w:t xml:space="preserve"> what </w:t>
      </w:r>
      <w:proofErr w:type="gramStart"/>
      <w:r>
        <w:t>should be the prefix</w:t>
      </w:r>
      <w:proofErr w:type="gramEnd"/>
      <w:r>
        <w:t xml:space="preserve"> was left open</w:t>
      </w:r>
      <w:r w:rsidR="00026A6A">
        <w:t xml:space="preserve"> at last RAN4 meeting but we would again propose to use “s”</w:t>
      </w:r>
      <w:r w:rsidR="00D541FE">
        <w:t>.</w:t>
      </w:r>
      <w:r>
        <w:t xml:space="preserve"> </w:t>
      </w:r>
    </w:p>
    <w:p w14:paraId="10D7A998" w14:textId="77777777" w:rsidR="00C729F7" w:rsidRPr="00D571DD" w:rsidRDefault="00C729F7" w:rsidP="00C729F7">
      <w:pPr>
        <w:pStyle w:val="RAN4proposal"/>
        <w:numPr>
          <w:ilvl w:val="0"/>
          <w:numId w:val="4"/>
        </w:numPr>
        <w:ind w:left="0" w:firstLine="0"/>
      </w:pPr>
      <w:bookmarkStart w:id="13" w:name="_Toc210047004"/>
      <w:bookmarkStart w:id="14" w:name="_Toc213417879"/>
      <w:r w:rsidRPr="00D571DD">
        <w:t>For 6G</w:t>
      </w:r>
      <w:r>
        <w:t>R</w:t>
      </w:r>
      <w:r w:rsidRPr="00D571DD">
        <w:t xml:space="preserve"> operating band naming re-use prefix concept from </w:t>
      </w:r>
      <w:r>
        <w:t>NR</w:t>
      </w:r>
      <w:r w:rsidRPr="00D571DD">
        <w:t xml:space="preserve"> but replace “n” with “s”.</w:t>
      </w:r>
      <w:bookmarkEnd w:id="13"/>
      <w:bookmarkEnd w:id="14"/>
    </w:p>
    <w:p w14:paraId="3C91F8DF" w14:textId="77777777" w:rsidR="00C729F7" w:rsidRDefault="00C729F7" w:rsidP="00C729F7">
      <w:r>
        <w:t>In Rel-21 both new 5G and 6G (and perhaps even 4G) operating bands will be defined. In those cases, the number is chosen from same number pool 65 – 256 on first come first served basis. This pool is currently shared also with 5G NTN bands which select band numbers from top of the range. This is summarized in Table 2.2.1-1 which also includes a suggestion for how to handle new 6G bands.</w:t>
      </w:r>
    </w:p>
    <w:p w14:paraId="470555E2" w14:textId="77777777" w:rsidR="00C729F7" w:rsidRPr="007236C9" w:rsidRDefault="00C729F7" w:rsidP="00C729F7">
      <w:pPr>
        <w:jc w:val="center"/>
        <w:rPr>
          <w:b/>
          <w:bCs/>
        </w:rPr>
      </w:pPr>
      <w:r w:rsidRPr="007236C9">
        <w:rPr>
          <w:b/>
          <w:bCs/>
          <w:lang w:eastAsia="zh-CN"/>
        </w:rPr>
        <w:t>Table 2.</w:t>
      </w:r>
      <w:r>
        <w:rPr>
          <w:b/>
          <w:bCs/>
          <w:lang w:eastAsia="zh-CN"/>
        </w:rPr>
        <w:t>2</w:t>
      </w:r>
      <w:r w:rsidRPr="007236C9">
        <w:rPr>
          <w:b/>
          <w:bCs/>
          <w:lang w:eastAsia="zh-CN"/>
        </w:rPr>
        <w:t>.1-1: Operating band numbering scheme</w:t>
      </w:r>
    </w:p>
    <w:p w14:paraId="32BC94E5" w14:textId="77777777" w:rsidR="00C729F7" w:rsidRDefault="00C729F7" w:rsidP="00C729F7">
      <w:pPr>
        <w:jc w:val="center"/>
      </w:pPr>
      <w:r w:rsidRPr="00215AB3">
        <w:rPr>
          <w:noProof/>
        </w:rPr>
        <w:drawing>
          <wp:inline distT="0" distB="0" distL="0" distR="0" wp14:anchorId="780CCA20" wp14:editId="1DB31D32">
            <wp:extent cx="6113145" cy="1275715"/>
            <wp:effectExtent l="0" t="0" r="1905" b="635"/>
            <wp:docPr id="1964093376"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093376" name="Picture 1" descr="A white paper with black text&#10;&#10;AI-generated content may be incorrect."/>
                    <pic:cNvPicPr/>
                  </pic:nvPicPr>
                  <pic:blipFill>
                    <a:blip r:embed="rId16"/>
                    <a:stretch>
                      <a:fillRect/>
                    </a:stretch>
                  </pic:blipFill>
                  <pic:spPr>
                    <a:xfrm>
                      <a:off x="0" y="0"/>
                      <a:ext cx="6113145" cy="1275715"/>
                    </a:xfrm>
                    <a:prstGeom prst="rect">
                      <a:avLst/>
                    </a:prstGeom>
                  </pic:spPr>
                </pic:pic>
              </a:graphicData>
            </a:graphic>
          </wp:inline>
        </w:drawing>
      </w:r>
    </w:p>
    <w:p w14:paraId="07A8EE36" w14:textId="77777777" w:rsidR="00C729F7" w:rsidRDefault="00C729F7" w:rsidP="00C729F7">
      <w:r>
        <w:t xml:space="preserve">As shown in </w:t>
      </w:r>
      <w:bookmarkStart w:id="15" w:name="_Hlk209813767"/>
      <w:r>
        <w:t xml:space="preserve">Table 2.2.1-1 </w:t>
      </w:r>
      <w:bookmarkEnd w:id="15"/>
      <w:r>
        <w:t>a s</w:t>
      </w:r>
      <w:r w:rsidRPr="00966BDB">
        <w:t>imilar approach</w:t>
      </w:r>
      <w:r>
        <w:t xml:space="preserve"> as used in NR for denoting bands can be used</w:t>
      </w:r>
      <w:r w:rsidRPr="00966BDB">
        <w:t xml:space="preserve"> for 6G bands</w:t>
      </w:r>
      <w:r>
        <w:t>.</w:t>
      </w:r>
    </w:p>
    <w:p w14:paraId="76C738FF" w14:textId="77777777" w:rsidR="00C729F7" w:rsidRDefault="00C729F7" w:rsidP="00C729F7">
      <w:pPr>
        <w:pStyle w:val="RAN4proposal"/>
        <w:numPr>
          <w:ilvl w:val="0"/>
          <w:numId w:val="4"/>
        </w:numPr>
        <w:ind w:left="0" w:firstLine="0"/>
      </w:pPr>
      <w:bookmarkStart w:id="16" w:name="_Toc210047005"/>
      <w:bookmarkStart w:id="17" w:name="_Toc213417880"/>
      <w:r>
        <w:t xml:space="preserve">Keep using numbering space 1-512 for new bands according to the division shown in </w:t>
      </w:r>
      <w:r w:rsidRPr="00DF6248">
        <w:t>Table 2.2.1-1</w:t>
      </w:r>
      <w:r>
        <w:t>.</w:t>
      </w:r>
      <w:bookmarkEnd w:id="16"/>
      <w:bookmarkEnd w:id="17"/>
    </w:p>
    <w:p w14:paraId="53E2955B" w14:textId="77777777" w:rsidR="00C729F7" w:rsidRPr="00B45D7F" w:rsidRDefault="00C729F7" w:rsidP="00C729F7">
      <w:r>
        <w:t>If the range from 1-512 is deemed not sufficient in 6GR then it can be considered to add a ranged starting from 513 for use for new 6GR bands as indicated also in</w:t>
      </w:r>
      <w:r w:rsidRPr="001A726C">
        <w:t xml:space="preserve"> </w:t>
      </w:r>
      <w:r>
        <w:t>Table 2.2.1-1.</w:t>
      </w:r>
    </w:p>
    <w:p w14:paraId="3688B4AD" w14:textId="77777777" w:rsidR="00C729F7" w:rsidRDefault="00C729F7" w:rsidP="00C729F7">
      <w:pPr>
        <w:pStyle w:val="RAN4H3"/>
        <w:keepNext w:val="0"/>
        <w:keepLines w:val="0"/>
        <w:spacing w:before="0" w:after="160"/>
        <w:outlineLvl w:val="9"/>
      </w:pPr>
      <w:r>
        <w:lastRenderedPageBreak/>
        <w:t>Carrier aggregation</w:t>
      </w:r>
      <w:r w:rsidRPr="00DA6098">
        <w:t xml:space="preserve"> notation</w:t>
      </w:r>
    </w:p>
    <w:p w14:paraId="35882AEA" w14:textId="77777777" w:rsidR="00C729F7" w:rsidRDefault="00C729F7" w:rsidP="00C729F7">
      <w:r w:rsidRPr="00DA6098">
        <w:t>Band combinations</w:t>
      </w:r>
      <w:r>
        <w:t>,</w:t>
      </w:r>
      <w:r w:rsidRPr="00DA6098">
        <w:t xml:space="preserve"> </w:t>
      </w:r>
      <w:proofErr w:type="spellStart"/>
      <w:r>
        <w:t>i.e</w:t>
      </w:r>
      <w:proofErr w:type="spellEnd"/>
      <w:r>
        <w:t xml:space="preserve"> Carrier Aggregation (CA) or Dual Connectivity (DC), </w:t>
      </w:r>
      <w:r w:rsidRPr="00DA6098">
        <w:t xml:space="preserve">have its own notation. Reading a </w:t>
      </w:r>
      <w:r>
        <w:t>CA</w:t>
      </w:r>
      <w:r w:rsidRPr="00DA6098">
        <w:t xml:space="preserve"> or </w:t>
      </w:r>
      <w:r>
        <w:t>DC</w:t>
      </w:r>
      <w:r w:rsidRPr="00DA6098">
        <w:t xml:space="preserve"> declaration tells exactly the number of carriers and their frequency location through an agreed syntax. </w:t>
      </w:r>
      <w:r>
        <w:t>For CA</w:t>
      </w:r>
      <w:r w:rsidRPr="00DA6098">
        <w:t xml:space="preserve"> syntax is shown on high level in Figure 2.2.1-1.</w:t>
      </w:r>
    </w:p>
    <w:p w14:paraId="43E31339" w14:textId="77777777" w:rsidR="00C729F7" w:rsidRDefault="00C729F7" w:rsidP="00C729F7">
      <w:pPr>
        <w:spacing w:after="0"/>
        <w:jc w:val="center"/>
      </w:pPr>
      <w:r>
        <w:rPr>
          <w:noProof/>
          <w:lang w:eastAsia="zh-CN"/>
        </w:rPr>
        <w:drawing>
          <wp:inline distT="0" distB="0" distL="0" distR="0" wp14:anchorId="7B73CC78" wp14:editId="24781879">
            <wp:extent cx="5742940" cy="2098675"/>
            <wp:effectExtent l="0" t="0" r="0" b="0"/>
            <wp:docPr id="1075346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2940" cy="2098675"/>
                    </a:xfrm>
                    <a:prstGeom prst="rect">
                      <a:avLst/>
                    </a:prstGeom>
                    <a:noFill/>
                    <a:ln>
                      <a:noFill/>
                    </a:ln>
                  </pic:spPr>
                </pic:pic>
              </a:graphicData>
            </a:graphic>
          </wp:inline>
        </w:drawing>
      </w:r>
    </w:p>
    <w:p w14:paraId="79653EBB" w14:textId="77777777" w:rsidR="00C729F7" w:rsidRDefault="00C729F7" w:rsidP="00C729F7">
      <w:pPr>
        <w:jc w:val="center"/>
        <w:rPr>
          <w:b/>
          <w:bCs/>
        </w:rPr>
      </w:pPr>
      <w:r w:rsidRPr="00DA6098">
        <w:rPr>
          <w:b/>
          <w:bCs/>
        </w:rPr>
        <w:t>Figure 2.2.</w:t>
      </w:r>
      <w:r>
        <w:rPr>
          <w:b/>
          <w:bCs/>
        </w:rPr>
        <w:t>2</w:t>
      </w:r>
      <w:r w:rsidRPr="00DA6098">
        <w:rPr>
          <w:b/>
          <w:bCs/>
        </w:rPr>
        <w:t>-1 Inter and intra-band CA syntax of 5G</w:t>
      </w:r>
    </w:p>
    <w:p w14:paraId="3C2481A6" w14:textId="77777777" w:rsidR="00C729F7" w:rsidRDefault="00C729F7" w:rsidP="00C729F7">
      <w:r>
        <w:t>While the dash in the notation is known always to separate inter-band combinations the underscore is used in many relations and easily leads to confusion. This is because the underscore has the following purposes in the notation for 5G:</w:t>
      </w:r>
    </w:p>
    <w:p w14:paraId="5F8E7E91" w14:textId="77777777" w:rsidR="00C729F7" w:rsidRDefault="00C729F7" w:rsidP="00C729F7">
      <w:pPr>
        <w:pStyle w:val="ListParagraph"/>
        <w:numPr>
          <w:ilvl w:val="0"/>
          <w:numId w:val="7"/>
        </w:numPr>
      </w:pPr>
      <w:r>
        <w:t>Separates the band combination Type (CA/DC/V2X/SUP/ULSUP_TDM/SL) from the band declaration</w:t>
      </w:r>
    </w:p>
    <w:p w14:paraId="789A6287" w14:textId="77777777" w:rsidR="00C729F7" w:rsidRDefault="00C729F7" w:rsidP="00C729F7">
      <w:pPr>
        <w:pStyle w:val="ListParagraph"/>
        <w:numPr>
          <w:ilvl w:val="0"/>
          <w:numId w:val="7"/>
        </w:numPr>
      </w:pPr>
      <w:r>
        <w:t>Separates RAT in EN/DC and NE/DC</w:t>
      </w:r>
    </w:p>
    <w:p w14:paraId="55C2DDC9" w14:textId="77777777" w:rsidR="00C729F7" w:rsidRDefault="00C729F7" w:rsidP="00C729F7">
      <w:pPr>
        <w:pStyle w:val="ListParagraph"/>
        <w:numPr>
          <w:ilvl w:val="0"/>
          <w:numId w:val="7"/>
        </w:numPr>
      </w:pPr>
      <w:r>
        <w:t>Separates downlink from uplink carriers in CA downlink configuration, where SUL is part of the uplink (Not in the Uplink CA configurations)</w:t>
      </w:r>
    </w:p>
    <w:p w14:paraId="2FC354E4" w14:textId="77777777" w:rsidR="00C729F7" w:rsidRDefault="00C729F7" w:rsidP="00C729F7">
      <w:pPr>
        <w:pStyle w:val="ListParagraph"/>
        <w:numPr>
          <w:ilvl w:val="0"/>
          <w:numId w:val="7"/>
        </w:numPr>
      </w:pPr>
      <w:r>
        <w:t xml:space="preserve">Separates band combination Types to allow a second Type declaration in both EN/DC downlink (_SUP) and EN/DC uplink (_ULSUP_TDM) </w:t>
      </w:r>
    </w:p>
    <w:p w14:paraId="739C85BE" w14:textId="77777777" w:rsidR="00C729F7" w:rsidRDefault="00C729F7" w:rsidP="00C729F7">
      <w:pPr>
        <w:pStyle w:val="ListParagraph"/>
        <w:numPr>
          <w:ilvl w:val="0"/>
          <w:numId w:val="7"/>
        </w:numPr>
      </w:pPr>
      <w:r>
        <w:t>V2X and SL are not obligated to use an underscore or at least they are not doing so in current specifications.</w:t>
      </w:r>
    </w:p>
    <w:p w14:paraId="56C3BED6" w14:textId="77777777" w:rsidR="00C729F7" w:rsidRDefault="00C729F7" w:rsidP="00C729F7">
      <w:pPr>
        <w:pStyle w:val="RAN4observation0"/>
      </w:pPr>
      <w:bookmarkStart w:id="18" w:name="_Toc210047006"/>
      <w:bookmarkStart w:id="19" w:name="_Toc213417881"/>
      <w:r w:rsidRPr="00DA6098">
        <w:t xml:space="preserve">The underscore seems not to </w:t>
      </w:r>
      <w:r>
        <w:t xml:space="preserve">have a </w:t>
      </w:r>
      <w:r w:rsidRPr="00DA6098">
        <w:t xml:space="preserve">clearly </w:t>
      </w:r>
      <w:r>
        <w:t xml:space="preserve">unified defined </w:t>
      </w:r>
      <w:r w:rsidRPr="00DA6098">
        <w:t xml:space="preserve">purpose in </w:t>
      </w:r>
      <w:r>
        <w:t>current band combinations</w:t>
      </w:r>
      <w:r w:rsidRPr="00DA6098">
        <w:t>.</w:t>
      </w:r>
      <w:bookmarkEnd w:id="18"/>
      <w:bookmarkEnd w:id="19"/>
    </w:p>
    <w:p w14:paraId="2E7CF87A" w14:textId="77777777" w:rsidR="00C729F7" w:rsidRDefault="00C729F7" w:rsidP="00C729F7">
      <w:r>
        <w:t>In the band and band combination syntax there is also lots of types. These are CA/ DC/ V2X/ SUP/ ULSUP_TDM/ SL /SLCA.</w:t>
      </w:r>
    </w:p>
    <w:p w14:paraId="0B5526E8" w14:textId="77777777" w:rsidR="00C729F7" w:rsidRDefault="00C729F7" w:rsidP="00C729F7">
      <w:r>
        <w:t>CA is most frequently used syntax, indicating a combination of carriers, not limited to bands.</w:t>
      </w:r>
    </w:p>
    <w:p w14:paraId="5CC249CD" w14:textId="77777777" w:rsidR="00C729F7" w:rsidRDefault="00C729F7" w:rsidP="00C729F7">
      <w:r>
        <w:t>DC is introduced as a RAT indication but shares the use of underscore before band declaration. A combination consisting of bands with no letter in front of the band number and those with the letter “n” separated by underscore indicates exactly the same. So, it can be asked why use “DC”, when the bands already show the mix of RATs</w:t>
      </w:r>
    </w:p>
    <w:p w14:paraId="24962E2B" w14:textId="77777777" w:rsidR="00C729F7" w:rsidRDefault="00C729F7" w:rsidP="00C729F7">
      <w:pPr>
        <w:pStyle w:val="RAN4observation0"/>
      </w:pPr>
      <w:bookmarkStart w:id="20" w:name="_Toc210047007"/>
      <w:bookmarkStart w:id="21" w:name="_Toc213417882"/>
      <w:r>
        <w:t>The band prefix already can be used to identify DC combinations.</w:t>
      </w:r>
      <w:bookmarkEnd w:id="20"/>
      <w:bookmarkEnd w:id="21"/>
      <w:r>
        <w:t xml:space="preserve"> </w:t>
      </w:r>
    </w:p>
    <w:p w14:paraId="3075E24B" w14:textId="77777777" w:rsidR="00C729F7" w:rsidRDefault="00C729F7" w:rsidP="00C729F7">
      <w:r>
        <w:t xml:space="preserve">V2X or SL concerns specific bands, but are rather features or capability, than a Type. Most commonly linked to band n47 but has one rare case of n79-n79. These special combination indications are a result of limiting the adaptation of these for a specific device type. </w:t>
      </w:r>
    </w:p>
    <w:p w14:paraId="35771357" w14:textId="77777777" w:rsidR="00C729F7" w:rsidRDefault="00C729F7" w:rsidP="00C729F7">
      <w:r>
        <w:t>From our perspective every band combination could be created with CA and underscores as the only syntax. This even with a distinguishing for SUL, V2X and SL as this remains a part of the declaration of the bands (e.g. n14, n38, n46, n47, n79, n96, n102).</w:t>
      </w:r>
    </w:p>
    <w:p w14:paraId="342DBE02" w14:textId="77777777" w:rsidR="00C729F7" w:rsidRDefault="00C729F7" w:rsidP="00C729F7">
      <w:pPr>
        <w:pStyle w:val="RAN4observation0"/>
      </w:pPr>
      <w:bookmarkStart w:id="22" w:name="_Toc210047008"/>
      <w:bookmarkStart w:id="23" w:name="_Toc213417883"/>
      <w:r>
        <w:t>There is no need to declare the type, but use only CA, when more carriers are combined.</w:t>
      </w:r>
      <w:bookmarkEnd w:id="22"/>
      <w:bookmarkEnd w:id="23"/>
    </w:p>
    <w:p w14:paraId="59DF1E8E" w14:textId="77777777" w:rsidR="00C729F7" w:rsidRDefault="00C729F7" w:rsidP="00C729F7">
      <w:r>
        <w:t>Therefore, it can be questioned whether RAN4 shall adopt similar in 6G timeframe. We believe this is not needed.</w:t>
      </w:r>
    </w:p>
    <w:p w14:paraId="5FA40088" w14:textId="3E9BE8F3" w:rsidR="00C729F7" w:rsidRDefault="00C729F7" w:rsidP="00C729F7">
      <w:pPr>
        <w:pStyle w:val="RAN4proposal"/>
        <w:numPr>
          <w:ilvl w:val="0"/>
          <w:numId w:val="4"/>
        </w:numPr>
        <w:ind w:left="0" w:firstLine="0"/>
      </w:pPr>
      <w:bookmarkStart w:id="24" w:name="_Toc210047009"/>
      <w:bookmarkStart w:id="25" w:name="_Toc213417884"/>
      <w:r>
        <w:t>RAN4 shall not to use RAT or device type indications for band combinations in 6GR.</w:t>
      </w:r>
      <w:bookmarkEnd w:id="24"/>
      <w:bookmarkEnd w:id="25"/>
    </w:p>
    <w:p w14:paraId="31B53E2B" w14:textId="77777777" w:rsidR="00C729F7" w:rsidRDefault="00C729F7" w:rsidP="00C729F7">
      <w:r>
        <w:t>If possible, to eliminate the special band combination declarations it would allow simplification of band combination notation in general.</w:t>
      </w:r>
    </w:p>
    <w:p w14:paraId="111ECC85" w14:textId="77777777" w:rsidR="00C729F7" w:rsidRDefault="00C729F7" w:rsidP="00C729F7">
      <w:pPr>
        <w:pStyle w:val="RAN4observation0"/>
      </w:pPr>
      <w:bookmarkStart w:id="26" w:name="_Toc210047010"/>
      <w:bookmarkStart w:id="27" w:name="_Toc213417885"/>
      <w:r>
        <w:lastRenderedPageBreak/>
        <w:t>Removing special band combination declarations</w:t>
      </w:r>
      <w:r w:rsidRPr="00D541E0">
        <w:t xml:space="preserve"> </w:t>
      </w:r>
      <w:r>
        <w:t>would allow simplification of band combination notation.</w:t>
      </w:r>
      <w:bookmarkEnd w:id="26"/>
      <w:bookmarkEnd w:id="27"/>
    </w:p>
    <w:p w14:paraId="6598B613" w14:textId="77777777" w:rsidR="00C729F7" w:rsidRDefault="00C729F7" w:rsidP="00C729F7">
      <w:r>
        <w:t xml:space="preserve">The syntax for band combination notation must cover all aspects as simple as possible. This means on CA is used as the Type, and no DC, SUL or other types are supported, since it is absorbed in the new syntax. The CA syntax must underscore only to separate the parts of the declaration as </w:t>
      </w:r>
      <w:proofErr w:type="spellStart"/>
      <w:r>
        <w:t>Type_DL_UL</w:t>
      </w:r>
      <w:proofErr w:type="spellEnd"/>
      <w:r>
        <w:t xml:space="preserve">. An example is shown in </w:t>
      </w:r>
      <w:r w:rsidRPr="00DA6098">
        <w:t>Figure 2.2.1-</w:t>
      </w:r>
      <w:r>
        <w:t>2.</w:t>
      </w:r>
    </w:p>
    <w:p w14:paraId="476BA94A" w14:textId="77777777" w:rsidR="00A14012" w:rsidRDefault="00A14012" w:rsidP="00C729F7"/>
    <w:p w14:paraId="2E8DD3BD" w14:textId="77777777" w:rsidR="00C729F7" w:rsidRDefault="00C729F7" w:rsidP="00C729F7">
      <w:pPr>
        <w:spacing w:after="0"/>
        <w:jc w:val="center"/>
      </w:pPr>
      <w:r>
        <w:rPr>
          <w:noProof/>
        </w:rPr>
        <w:drawing>
          <wp:inline distT="0" distB="0" distL="0" distR="0" wp14:anchorId="2E4F9D9E" wp14:editId="3F5E9110">
            <wp:extent cx="5143500" cy="886690"/>
            <wp:effectExtent l="0" t="0" r="0" b="8890"/>
            <wp:docPr id="1995588691" name="Picture 1" descr="A blue arrow pointing to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588691" name="Picture 1" descr="A blue arrow pointing to a black background&#10;&#10;AI-generated content may be incorrect."/>
                    <pic:cNvPicPr>
                      <a:picLocks noChangeAspect="1" noChangeArrowheads="1"/>
                    </pic:cNvPicPr>
                  </pic:nvPicPr>
                  <pic:blipFill rotWithShape="1">
                    <a:blip r:embed="rId18">
                      <a:extLst>
                        <a:ext uri="{28A0092B-C50C-407E-A947-70E740481C1C}">
                          <a14:useLocalDpi xmlns:a14="http://schemas.microsoft.com/office/drawing/2010/main" val="0"/>
                        </a:ext>
                      </a:extLst>
                    </a:blip>
                    <a:srcRect l="2198" t="7313" r="1754" b="7590"/>
                    <a:stretch>
                      <a:fillRect/>
                    </a:stretch>
                  </pic:blipFill>
                  <pic:spPr bwMode="auto">
                    <a:xfrm>
                      <a:off x="0" y="0"/>
                      <a:ext cx="5146951" cy="887285"/>
                    </a:xfrm>
                    <a:prstGeom prst="rect">
                      <a:avLst/>
                    </a:prstGeom>
                    <a:noFill/>
                    <a:ln>
                      <a:noFill/>
                    </a:ln>
                    <a:extLst>
                      <a:ext uri="{53640926-AAD7-44D8-BBD7-CCE9431645EC}">
                        <a14:shadowObscured xmlns:a14="http://schemas.microsoft.com/office/drawing/2010/main"/>
                      </a:ext>
                    </a:extLst>
                  </pic:spPr>
                </pic:pic>
              </a:graphicData>
            </a:graphic>
          </wp:inline>
        </w:drawing>
      </w:r>
    </w:p>
    <w:p w14:paraId="1200D586" w14:textId="77777777" w:rsidR="00C729F7" w:rsidRDefault="00C729F7" w:rsidP="00C729F7">
      <w:pPr>
        <w:jc w:val="center"/>
        <w:rPr>
          <w:b/>
          <w:bCs/>
        </w:rPr>
      </w:pPr>
      <w:r w:rsidRPr="00DA6098">
        <w:rPr>
          <w:b/>
          <w:bCs/>
        </w:rPr>
        <w:t>Figure 2.2.1-</w:t>
      </w:r>
      <w:r>
        <w:rPr>
          <w:b/>
          <w:bCs/>
        </w:rPr>
        <w:t>2</w:t>
      </w:r>
      <w:r w:rsidRPr="00DA6098">
        <w:rPr>
          <w:b/>
          <w:bCs/>
        </w:rPr>
        <w:t xml:space="preserve"> CA syntax in 6G</w:t>
      </w:r>
      <w:r>
        <w:rPr>
          <w:b/>
          <w:bCs/>
        </w:rPr>
        <w:t>R</w:t>
      </w:r>
      <w:r w:rsidRPr="00DA6098">
        <w:rPr>
          <w:b/>
          <w:bCs/>
        </w:rPr>
        <w:t>.</w:t>
      </w:r>
    </w:p>
    <w:p w14:paraId="450C43AE" w14:textId="77777777" w:rsidR="00C729F7" w:rsidRDefault="00C729F7" w:rsidP="00C729F7">
      <w:r>
        <w:t>The band combination (CA) covers the downlink bands of s1, s46 and s78, with the uplink bands of s1 and s46. This compact notation is easy to read, it considers flexible channel BW, so no BCS needed, and it has both uplink and downlink in the same string. For Basket Notation we allow use of DL and UL as types.</w:t>
      </w:r>
    </w:p>
    <w:p w14:paraId="028D476D" w14:textId="77777777" w:rsidR="00C729F7" w:rsidRDefault="00C729F7" w:rsidP="00C729F7">
      <w:pPr>
        <w:pStyle w:val="ListParagraph"/>
        <w:numPr>
          <w:ilvl w:val="0"/>
          <w:numId w:val="16"/>
        </w:numPr>
      </w:pPr>
      <w:r>
        <w:t>In case of DC -&gt; CA_n1-s3_n1-s3 (“n” and “s” easily identifies RAT)</w:t>
      </w:r>
    </w:p>
    <w:p w14:paraId="00F9D294" w14:textId="77777777" w:rsidR="00C729F7" w:rsidRDefault="00C729F7" w:rsidP="00C729F7">
      <w:pPr>
        <w:pStyle w:val="ListParagraph"/>
        <w:numPr>
          <w:ilvl w:val="0"/>
          <w:numId w:val="16"/>
        </w:numPr>
      </w:pPr>
      <w:r>
        <w:t>In case of SUL -&gt;CA_s1_s1-s81 (SUL is in the band enumeration)</w:t>
      </w:r>
    </w:p>
    <w:p w14:paraId="0B10312B" w14:textId="77777777" w:rsidR="00C729F7" w:rsidRDefault="00C729F7" w:rsidP="00C729F7">
      <w:pPr>
        <w:pStyle w:val="ListParagraph"/>
        <w:numPr>
          <w:ilvl w:val="0"/>
          <w:numId w:val="16"/>
        </w:numPr>
      </w:pPr>
      <w:r>
        <w:t>In case of Sidelink -&gt; s47 (Sidelink is in the band enumeration)</w:t>
      </w:r>
    </w:p>
    <w:p w14:paraId="073AE7FB" w14:textId="77777777" w:rsidR="00C729F7" w:rsidRDefault="00C729F7" w:rsidP="00C729F7">
      <w:pPr>
        <w:pStyle w:val="ListParagraph"/>
        <w:numPr>
          <w:ilvl w:val="0"/>
          <w:numId w:val="16"/>
        </w:numPr>
      </w:pPr>
      <w:r>
        <w:t>In case of V2X -&gt; CA_s1-s47_s1-s47 (V2X is in the band enumeration)</w:t>
      </w:r>
    </w:p>
    <w:p w14:paraId="79E232B9" w14:textId="77777777" w:rsidR="00C729F7" w:rsidRDefault="00C729F7" w:rsidP="00C729F7">
      <w:r>
        <w:t xml:space="preserve">In 6G CA syntax consists of a single type (“CA”), underscore separators for Type, DL and UL, one or more downlink bands separated by dash and one or more uplink bands separated by dash. </w:t>
      </w:r>
    </w:p>
    <w:p w14:paraId="75C0CB7C" w14:textId="77777777" w:rsidR="00C729F7" w:rsidRDefault="00C729F7" w:rsidP="00C729F7">
      <w:pPr>
        <w:pStyle w:val="RAN4proposal"/>
        <w:numPr>
          <w:ilvl w:val="0"/>
          <w:numId w:val="4"/>
        </w:numPr>
        <w:ind w:left="0" w:firstLine="0"/>
      </w:pPr>
      <w:bookmarkStart w:id="28" w:name="_Toc210047011"/>
      <w:bookmarkStart w:id="29" w:name="_Toc213417886"/>
      <w:r w:rsidRPr="00DA6098">
        <w:t>In 6G</w:t>
      </w:r>
      <w:r>
        <w:t>R</w:t>
      </w:r>
      <w:r w:rsidRPr="00DA6098">
        <w:t xml:space="preserve"> </w:t>
      </w:r>
      <w:r>
        <w:t>the band combination</w:t>
      </w:r>
      <w:r w:rsidRPr="00DA6098">
        <w:t xml:space="preserve"> syntax </w:t>
      </w:r>
      <w:r>
        <w:t xml:space="preserve">shall </w:t>
      </w:r>
      <w:r w:rsidRPr="00DA6098">
        <w:t>consists of a single type (“CA”), underscore separators for Type, DL and UL, one or more downlink bands separated by dash and one or more uplink bands separated by dash.</w:t>
      </w:r>
      <w:bookmarkEnd w:id="28"/>
      <w:bookmarkEnd w:id="29"/>
      <w:r w:rsidRPr="00DA6098">
        <w:t xml:space="preserve"> </w:t>
      </w:r>
    </w:p>
    <w:p w14:paraId="004B5634" w14:textId="77777777" w:rsidR="00C729F7" w:rsidRDefault="00C729F7" w:rsidP="00C729F7">
      <w:pPr>
        <w:pStyle w:val="RAN4H3"/>
        <w:keepNext w:val="0"/>
        <w:keepLines w:val="0"/>
        <w:spacing w:before="0" w:after="160"/>
        <w:outlineLvl w:val="9"/>
      </w:pPr>
      <w:r>
        <w:t xml:space="preserve">Carrier aggregation and switching </w:t>
      </w:r>
    </w:p>
    <w:p w14:paraId="6536A9A2" w14:textId="77777777" w:rsidR="00C729F7" w:rsidRDefault="00C729F7" w:rsidP="00C729F7">
      <w:r>
        <w:t xml:space="preserve">In 5G NR the various switching schemes, like UL </w:t>
      </w:r>
      <w:proofErr w:type="spellStart"/>
      <w:r>
        <w:t>TxSwitching</w:t>
      </w:r>
      <w:proofErr w:type="spellEnd"/>
      <w:r>
        <w:t xml:space="preserve"> was introduced and broke with the notation of radio configuration through CA notation. A dedicated UE capability group allowed multiple </w:t>
      </w:r>
      <w:proofErr w:type="spellStart"/>
      <w:r>
        <w:t>switchedUL</w:t>
      </w:r>
      <w:proofErr w:type="spellEnd"/>
      <w:r>
        <w:t xml:space="preserve"> or </w:t>
      </w:r>
      <w:proofErr w:type="spellStart"/>
      <w:r>
        <w:t>DualUL</w:t>
      </w:r>
      <w:proofErr w:type="spellEnd"/>
      <w:r>
        <w:t xml:space="preserve"> declarations related to the carriers of the downlink operation. This means that the CA notation no longer serves for identifying the radio configurations state, and not only carrier deactivation, but also switching may change the active radio configuration at any point during operation. </w:t>
      </w:r>
    </w:p>
    <w:p w14:paraId="7D169426" w14:textId="77777777" w:rsidR="00C729F7" w:rsidRDefault="00C729F7" w:rsidP="00C729F7">
      <w:pPr>
        <w:pStyle w:val="RAN4observation0"/>
      </w:pPr>
      <w:bookmarkStart w:id="30" w:name="_Toc210047012"/>
      <w:bookmarkStart w:id="31" w:name="_Toc213417887"/>
      <w:r>
        <w:t>In NR UL and DL switching schemes means that the CA notation is no longer enough to identify a radio state configuration.</w:t>
      </w:r>
      <w:bookmarkEnd w:id="30"/>
      <w:bookmarkEnd w:id="31"/>
    </w:p>
    <w:p w14:paraId="663E7E66" w14:textId="77777777" w:rsidR="00C729F7" w:rsidRDefault="00C729F7" w:rsidP="00C729F7">
      <w:r>
        <w:t>As an example, it is not obvious reading the notation CA_n12A-n29A that a hidden feature of LBCAsw is applicable for making that combination work. The switching is covered in UE capabilities and may even not be read from the UE radio specification, but only in the system parameter specification.</w:t>
      </w:r>
    </w:p>
    <w:p w14:paraId="0683EDFE" w14:textId="12B039E3" w:rsidR="00C729F7" w:rsidRDefault="00C729F7" w:rsidP="00C729F7">
      <w:r>
        <w:t xml:space="preserve">In 6GR there’s a motivation to improve the CA framework, especially considering flexibility in of the configurations. In relation to switching this is also discussed </w:t>
      </w:r>
      <w:r w:rsidR="002E1F5A">
        <w:t xml:space="preserve">as part of the </w:t>
      </w:r>
      <w:r w:rsidR="00A636B2">
        <w:t>spectrum</w:t>
      </w:r>
      <w:r w:rsidR="002E1F5A">
        <w:t xml:space="preserve"> aggregation framework</w:t>
      </w:r>
      <w:r w:rsidR="00A636B2">
        <w:t xml:space="preserve"> under a different agenda</w:t>
      </w:r>
      <w:r>
        <w:t>. Allowing this additional flexibility for CA is desirable but it also means there is even more reason to carefully consider how CA configuration is identified. This to ensure all attributes of the individual configurations are clearly identifiable.</w:t>
      </w:r>
    </w:p>
    <w:p w14:paraId="0E4DE213" w14:textId="77777777" w:rsidR="00C729F7" w:rsidRDefault="00C729F7" w:rsidP="00C729F7">
      <w:pPr>
        <w:pStyle w:val="RAN4proposal"/>
        <w:numPr>
          <w:ilvl w:val="0"/>
          <w:numId w:val="4"/>
        </w:numPr>
        <w:ind w:left="0" w:firstLine="0"/>
      </w:pPr>
      <w:bookmarkStart w:id="32" w:name="_Toc210047013"/>
      <w:bookmarkStart w:id="33" w:name="_Toc213417888"/>
      <w:r>
        <w:t xml:space="preserve">RAN4 shall consider how CA attributes as DL/UL switching can be clearly identifiable for </w:t>
      </w:r>
      <w:r w:rsidRPr="00002683">
        <w:t>6GR band combination</w:t>
      </w:r>
      <w:r>
        <w:t>s</w:t>
      </w:r>
      <w:bookmarkEnd w:id="32"/>
      <w:bookmarkEnd w:id="33"/>
    </w:p>
    <w:p w14:paraId="5CE69A3D" w14:textId="7FC15DBE" w:rsidR="00C729F7" w:rsidRPr="00C41121" w:rsidRDefault="00C729F7" w:rsidP="00C729F7">
      <w:pPr>
        <w:pStyle w:val="RAN4H2"/>
      </w:pPr>
      <w:r w:rsidRPr="00C41121">
        <w:t xml:space="preserve">Band combination specific requirements simplification </w:t>
      </w:r>
    </w:p>
    <w:p w14:paraId="15B7FDDD" w14:textId="77777777" w:rsidR="00C729F7" w:rsidRDefault="00C729F7" w:rsidP="00C729F7">
      <w:pPr>
        <w:pStyle w:val="RAN4H3"/>
        <w:keepNext w:val="0"/>
        <w:keepLines w:val="0"/>
        <w:spacing w:before="0" w:after="160"/>
        <w:outlineLvl w:val="9"/>
      </w:pPr>
      <w:r>
        <w:t xml:space="preserve">Definition of UE relaxations per band combination </w:t>
      </w:r>
    </w:p>
    <w:p w14:paraId="4E92C9BF" w14:textId="77777777" w:rsidR="00C729F7" w:rsidRDefault="00C729F7" w:rsidP="00C729F7">
      <w:r>
        <w:t>During NR time frame RAN4 have been investigating how to improve the specifications. As proposed in [3], RAN4 was encouraged to investigate if some of the information/requirements now spread across multiple tables listing band combinations can be merged into a single table listing the band combination.</w:t>
      </w:r>
    </w:p>
    <w:p w14:paraId="705282A5" w14:textId="0953DAA9" w:rsidR="00C729F7" w:rsidRDefault="00C729F7" w:rsidP="00C729F7">
      <w:pPr>
        <w:pStyle w:val="RAN4observation0"/>
      </w:pPr>
      <w:bookmarkStart w:id="34" w:name="_Toc210047014"/>
      <w:bookmarkStart w:id="35" w:name="_Toc213417889"/>
      <w:r>
        <w:lastRenderedPageBreak/>
        <w:t>In the current NR specification multiple tables are now listing band combination specific requirements</w:t>
      </w:r>
      <w:r w:rsidR="006540D5">
        <w:t>.</w:t>
      </w:r>
      <w:r>
        <w:t xml:space="preserve"> </w:t>
      </w:r>
      <w:r w:rsidR="006540D5">
        <w:t>T</w:t>
      </w:r>
      <w:r>
        <w:t xml:space="preserve">o understand </w:t>
      </w:r>
      <w:r w:rsidR="006540D5">
        <w:t xml:space="preserve">the meaning of the </w:t>
      </w:r>
      <w:r>
        <w:t>requirements for a single band combination one will have to consult numerous long tables in the specification.</w:t>
      </w:r>
      <w:bookmarkEnd w:id="34"/>
      <w:bookmarkEnd w:id="35"/>
    </w:p>
    <w:p w14:paraId="286AE11D" w14:textId="77777777" w:rsidR="00C729F7" w:rsidRDefault="00C729F7" w:rsidP="00C729F7">
      <w:r>
        <w:t xml:space="preserve">A general thing for the band combination specific requirements is that most of these are UE relaxations for either Tx or Rx requirements. UE relaxations per band combination, e.g. </w:t>
      </w:r>
      <w:proofErr w:type="spellStart"/>
      <w:r>
        <w:t>ΔTIB,c</w:t>
      </w:r>
      <w:proofErr w:type="spellEnd"/>
      <w:r>
        <w:t xml:space="preserve"> and </w:t>
      </w:r>
      <w:proofErr w:type="spellStart"/>
      <w:r>
        <w:t>ΔRIB,c</w:t>
      </w:r>
      <w:proofErr w:type="spellEnd"/>
      <w:r>
        <w:t xml:space="preserve"> and even MSD in many cases, have the same value dependent on the type of issue, e.g. harmonics, creating the need for the relaxation. Even so, these relaxation values are currently listed per band combination in multiple tables for each type of issue. </w:t>
      </w:r>
    </w:p>
    <w:p w14:paraId="274AE20A" w14:textId="280B60B6" w:rsidR="00C729F7" w:rsidRDefault="00C729F7" w:rsidP="00C729F7">
      <w:pPr>
        <w:pStyle w:val="RAN4observation0"/>
      </w:pPr>
      <w:bookmarkStart w:id="36" w:name="_Toc210047015"/>
      <w:bookmarkStart w:id="37" w:name="_Toc213417890"/>
      <w:r>
        <w:t>Currently the RAN4 UE RF specification has separate tables for each UE relaxation type, e.g. MSD due to harmonic mixing issues.</w:t>
      </w:r>
      <w:bookmarkEnd w:id="36"/>
      <w:bookmarkEnd w:id="37"/>
    </w:p>
    <w:p w14:paraId="7ECE5E90" w14:textId="0F7FC81E" w:rsidR="00C729F7" w:rsidRDefault="00C729F7" w:rsidP="00C729F7">
      <w:r>
        <w:t>The work currently ongoing to move listing of supported band combinations to a database instead of listing them in the DOCX based specification is not addressing the band combination specific requirements but only the configurations and their supported channel bandwidth etc.</w:t>
      </w:r>
    </w:p>
    <w:p w14:paraId="4E0EBEB6" w14:textId="77777777" w:rsidR="00C729F7" w:rsidRPr="007B6103" w:rsidRDefault="00C729F7" w:rsidP="00C729F7">
      <w:pPr>
        <w:pStyle w:val="RAN4observation0"/>
      </w:pPr>
      <w:bookmarkStart w:id="38" w:name="_Toc210047016"/>
      <w:bookmarkStart w:id="39" w:name="_Toc213417891"/>
      <w:r>
        <w:t xml:space="preserve">The </w:t>
      </w:r>
      <w:r w:rsidRPr="00B30C2A">
        <w:t xml:space="preserve">to move listing of supported band combinations to a database instead of listing them in the </w:t>
      </w:r>
      <w:r>
        <w:t>DOCX</w:t>
      </w:r>
      <w:r w:rsidRPr="00B30C2A">
        <w:t xml:space="preserve"> specification is not addressing the band combination specific requirements</w:t>
      </w:r>
      <w:r>
        <w:t>.</w:t>
      </w:r>
      <w:bookmarkEnd w:id="38"/>
      <w:bookmarkEnd w:id="39"/>
    </w:p>
    <w:p w14:paraId="26B72476" w14:textId="77777777" w:rsidR="00C729F7" w:rsidRDefault="00C729F7" w:rsidP="00C729F7">
      <w:r>
        <w:t xml:space="preserve">To simplify the specification and the reading of it a suggestion is to list relaxation per UE issue/type in a single table and then list all the types of issues for the specific band combinations in list of supported band combinations. By grouping a list of issues per band combination would provide an overview of the individual band combinations combined need for UE relaxation. This was not done during NR times as the specification impact was deemed too large but for 6G the change principle can be used from the beginning. </w:t>
      </w:r>
    </w:p>
    <w:p w14:paraId="5AFE7C43" w14:textId="55A44F42" w:rsidR="00C729F7" w:rsidRDefault="00C729F7" w:rsidP="00C729F7">
      <w:pPr>
        <w:pStyle w:val="RAN4proposal"/>
        <w:numPr>
          <w:ilvl w:val="0"/>
          <w:numId w:val="4"/>
        </w:numPr>
        <w:ind w:left="0" w:firstLine="0"/>
      </w:pPr>
      <w:bookmarkStart w:id="40" w:name="_Toc210047017"/>
      <w:bookmarkStart w:id="41" w:name="_Toc213417892"/>
      <w:r>
        <w:t>RAN4 shall consider for 6GR to p</w:t>
      </w:r>
      <w:r w:rsidRPr="003C11F2">
        <w:t>roviding</w:t>
      </w:r>
      <w:r>
        <w:t xml:space="preserve"> a single list of supported band combinations together with their impairments requiring relaxation to provide an overview instead of spreading the information over multiple tables in the specification.</w:t>
      </w:r>
      <w:bookmarkEnd w:id="40"/>
      <w:bookmarkEnd w:id="41"/>
    </w:p>
    <w:p w14:paraId="6FF1F56C" w14:textId="77777777" w:rsidR="00C729F7" w:rsidRDefault="00C729F7" w:rsidP="00C729F7">
      <w:r>
        <w:t xml:space="preserve">In a practical example from 5G NR for TS 38.101-1 only targeting Clause 7 is presented in [3]. </w:t>
      </w:r>
    </w:p>
    <w:p w14:paraId="30611D55" w14:textId="3836509D" w:rsidR="00C729F7" w:rsidRDefault="00C729F7" w:rsidP="00C729F7">
      <w:pPr>
        <w:pStyle w:val="RAN4H2"/>
      </w:pPr>
      <w:r w:rsidRPr="009A3FFE">
        <w:t>Spectrum related regulatory survey</w:t>
      </w:r>
      <w:r>
        <w:t xml:space="preserve"> </w:t>
      </w:r>
    </w:p>
    <w:p w14:paraId="18AF0B57" w14:textId="77777777" w:rsidR="00C729F7" w:rsidRDefault="00C729F7" w:rsidP="00C729F7">
      <w:r>
        <w:t>Use of spectrum for 6GR is based on the availability provided by international designations for IMT and regional regulations for the specific use.</w:t>
      </w:r>
    </w:p>
    <w:p w14:paraId="0E52CAB2" w14:textId="77777777" w:rsidR="00C729F7" w:rsidRPr="0068438F" w:rsidRDefault="00C729F7" w:rsidP="00C729F7">
      <w:pPr>
        <w:pStyle w:val="RAN4observation0"/>
      </w:pPr>
      <w:bookmarkStart w:id="42" w:name="_Toc210047018"/>
      <w:bookmarkStart w:id="43" w:name="_Toc213417893"/>
      <w:r>
        <w:t>S</w:t>
      </w:r>
      <w:r w:rsidRPr="000842EE">
        <w:t>pectrum for 6GR is based on the availability provided by international designations for IMT and regional regulations</w:t>
      </w:r>
      <w:r>
        <w:t>.</w:t>
      </w:r>
      <w:bookmarkEnd w:id="42"/>
      <w:bookmarkEnd w:id="43"/>
    </w:p>
    <w:p w14:paraId="1936CA16" w14:textId="77777777" w:rsidR="00C729F7" w:rsidRDefault="00C729F7" w:rsidP="00C729F7">
      <w:r>
        <w:t>The World Radiocommunication Conference 2023 (WRC-23) made positive decisions about additional bands for 5G/6G, opening the door to the regulatory discussions ongoing globally.</w:t>
      </w:r>
    </w:p>
    <w:p w14:paraId="65F3630A" w14:textId="29BA34B3" w:rsidR="00C729F7" w:rsidRDefault="00C729F7" w:rsidP="00C729F7">
      <w:pPr>
        <w:pStyle w:val="ListParagraph"/>
        <w:numPr>
          <w:ilvl w:val="0"/>
          <w:numId w:val="6"/>
        </w:numPr>
      </w:pPr>
      <w:r>
        <w:t>WRC-23 took the decision that the U6 GHz can be used for 5G/6G in EMEA, a few Asian countries, and Brazil and Mexico. Additional countries have indicated they would back the band in the coming years and are expected to formalize this during the next radio conference, WRC-27. Currently, Europe is studying technical and regulatory conditions of whether all 700 MHz of the band to be made available for 5G/6G, or only a portion, or if a potential shared use by mobile and Wi-Fi would require limitations which would reduce the appeal for CSPs to deploy 5G/6G using this band. Regulation for the band is expected for 2027, making upper 6 GHz band potentially the pioneer band for the launch of 6G. Under the technology neutral principle, it can also be used, if needed, to support advanced cases of 5G and further be repurposed to 6G.</w:t>
      </w:r>
    </w:p>
    <w:p w14:paraId="452B678D" w14:textId="678478D0" w:rsidR="00C729F7" w:rsidRDefault="00C729F7" w:rsidP="00C729F7">
      <w:pPr>
        <w:pStyle w:val="ListParagraph"/>
        <w:numPr>
          <w:ilvl w:val="0"/>
          <w:numId w:val="6"/>
        </w:numPr>
      </w:pPr>
      <w:r>
        <w:t>The WRC-23 also agreed – for the WRC-27 cycle (AI 1.7) – to study 7-8.4 GHz for 6G, with the potential of identifying up to 1275 MHz in this range in 2027. Additional bands – 4.4-4.8 GHz and 14.8-15.35 GHz – are also being studied. For the 7-8.4 GHz range, the USA is a key country as it has limited spectrum available in mid-bands following FCC’s 2020 decision to allow unlicensed operations, including Wi-Fi in the full 6 GHz range.</w:t>
      </w:r>
    </w:p>
    <w:p w14:paraId="2D305BCC" w14:textId="77777777" w:rsidR="00C729F7" w:rsidRDefault="00C729F7" w:rsidP="00C729F7">
      <w:r>
        <w:t xml:space="preserve">In general, the use and availability of spectrum can be summarized via </w:t>
      </w:r>
      <w:r w:rsidRPr="00B45CC3">
        <w:t>Figure 2.4-1</w:t>
      </w:r>
      <w:r>
        <w:t xml:space="preserve">. From </w:t>
      </w:r>
      <w:r w:rsidRPr="001A1E36">
        <w:t>Figure 2.4-1</w:t>
      </w:r>
      <w:r>
        <w:t xml:space="preserve"> it can be noted that the </w:t>
      </w:r>
      <w:r w:rsidRPr="00AB5AF2">
        <w:t xml:space="preserve">potential new 6GR TN spectrum around </w:t>
      </w:r>
      <w:r>
        <w:t xml:space="preserve">is focused around </w:t>
      </w:r>
      <w:r w:rsidRPr="00AB5AF2">
        <w:t>7GHz, 12GHz a</w:t>
      </w:r>
      <w:r>
        <w:t>nd</w:t>
      </w:r>
      <w:r w:rsidRPr="00AB5AF2">
        <w:t xml:space="preserve"> 15GHz</w:t>
      </w:r>
      <w:r>
        <w:t>.</w:t>
      </w:r>
    </w:p>
    <w:p w14:paraId="333E7734" w14:textId="77777777" w:rsidR="00C729F7" w:rsidRDefault="00C729F7" w:rsidP="00C729F7">
      <w:pPr>
        <w:spacing w:after="0"/>
        <w:jc w:val="center"/>
      </w:pPr>
      <w:r w:rsidRPr="00225B9D">
        <w:rPr>
          <w:noProof/>
        </w:rPr>
        <w:lastRenderedPageBreak/>
        <w:drawing>
          <wp:inline distT="0" distB="0" distL="0" distR="0" wp14:anchorId="29EFE469" wp14:editId="10121AC8">
            <wp:extent cx="4724400" cy="2346150"/>
            <wp:effectExtent l="0" t="0" r="0" b="0"/>
            <wp:docPr id="1144840374" name="Picture 1144840374" descr="A diagram of a t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840374" name="Picture 5" descr="A diagram of a tower&#10;&#10;Description automatically generated"/>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1668"/>
                    <a:stretch/>
                  </pic:blipFill>
                  <pic:spPr bwMode="auto">
                    <a:xfrm>
                      <a:off x="0" y="0"/>
                      <a:ext cx="4755652" cy="2361670"/>
                    </a:xfrm>
                    <a:prstGeom prst="rect">
                      <a:avLst/>
                    </a:prstGeom>
                    <a:noFill/>
                    <a:ln>
                      <a:noFill/>
                    </a:ln>
                    <a:extLst>
                      <a:ext uri="{53640926-AAD7-44D8-BBD7-CCE9431645EC}">
                        <a14:shadowObscured xmlns:a14="http://schemas.microsoft.com/office/drawing/2010/main"/>
                      </a:ext>
                    </a:extLst>
                  </pic:spPr>
                </pic:pic>
              </a:graphicData>
            </a:graphic>
          </wp:inline>
        </w:drawing>
      </w:r>
    </w:p>
    <w:p w14:paraId="7E6FD469" w14:textId="77777777" w:rsidR="00C729F7" w:rsidRDefault="00C729F7" w:rsidP="00C729F7">
      <w:pPr>
        <w:jc w:val="center"/>
        <w:rPr>
          <w:b/>
          <w:bCs/>
        </w:rPr>
      </w:pPr>
      <w:r w:rsidRPr="00DA6098">
        <w:rPr>
          <w:b/>
          <w:bCs/>
        </w:rPr>
        <w:t>Figure 2.</w:t>
      </w:r>
      <w:r>
        <w:rPr>
          <w:b/>
          <w:bCs/>
        </w:rPr>
        <w:t>4</w:t>
      </w:r>
      <w:r w:rsidRPr="00DA6098">
        <w:rPr>
          <w:b/>
          <w:bCs/>
        </w:rPr>
        <w:t xml:space="preserve">-1 </w:t>
      </w:r>
      <w:r w:rsidRPr="00CB26D8">
        <w:rPr>
          <w:b/>
          <w:bCs/>
        </w:rPr>
        <w:t>Potential use of new and existing spectrum bands with 6G technology</w:t>
      </w:r>
    </w:p>
    <w:p w14:paraId="2334CE23" w14:textId="77777777" w:rsidR="00C729F7" w:rsidRDefault="00C729F7" w:rsidP="00C729F7">
      <w:pPr>
        <w:pStyle w:val="RAN4observation0"/>
      </w:pPr>
      <w:bookmarkStart w:id="44" w:name="_Toc210047019"/>
      <w:bookmarkStart w:id="45" w:name="_Toc213417894"/>
      <w:r>
        <w:t>P</w:t>
      </w:r>
      <w:r w:rsidRPr="00690D8F">
        <w:t>otential new 6GR TN spectrum around is focused around 7GHz, 12GHz and 15GHz</w:t>
      </w:r>
      <w:bookmarkEnd w:id="44"/>
      <w:bookmarkEnd w:id="45"/>
    </w:p>
    <w:p w14:paraId="3BD4D049" w14:textId="77777777" w:rsidR="00C729F7" w:rsidRDefault="00C729F7" w:rsidP="00C729F7">
      <w:r>
        <w:t>In relation to the potential new 6GR bands in specific, at the ITU-R level, stakeholders are engaging in defining the studies to evaluate the potential of the bands 4.4-4.8, 7.1-8.4 GHz and 14.8-15.35 GHz (under AI 1.7) to ensure that building economically viable and high-performing 6G networks using this spectrum is possible. The findings of the studies will be presented to the ITU-R which will make the final decision of whether to assign the spectrum to 6G at the World Radiocommunication Conference 2027 (WRC-27).</w:t>
      </w:r>
    </w:p>
    <w:p w14:paraId="6E474381" w14:textId="77777777" w:rsidR="00C729F7" w:rsidRDefault="00C729F7" w:rsidP="00C729F7">
      <w:pPr>
        <w:pStyle w:val="RAN4observation0"/>
      </w:pPr>
      <w:bookmarkStart w:id="46" w:name="_Toc210047020"/>
      <w:bookmarkStart w:id="47" w:name="_Toc213417895"/>
      <w:r>
        <w:t xml:space="preserve">ITU-R is </w:t>
      </w:r>
      <w:r w:rsidRPr="007750D0">
        <w:t>engaging in defining the studies to evaluate the potential of the bands 4.4-4.8, 7.1-8.4 GHz and 14.8-15.35 GHz</w:t>
      </w:r>
      <w:bookmarkEnd w:id="46"/>
      <w:bookmarkEnd w:id="47"/>
    </w:p>
    <w:p w14:paraId="3EF5948A" w14:textId="77777777" w:rsidR="00C729F7" w:rsidRDefault="00C729F7" w:rsidP="00C729F7">
      <w:r>
        <w:t xml:space="preserve">Outside of the ITU-R process and given the shortage of spectrum in the mid-bands, the USA is considering additional spectrum in the 3.1-3.45 GHz and in 12 GHz range. The successful use of these bands depends on defining the right operational conditions, i.e. an optimal sharing mechanism in the 3.1-3.45 GHz band to assure coexistence between military radars and mobile with least restrictive conditions for mobile </w:t>
      </w:r>
      <w:proofErr w:type="gramStart"/>
      <w:r>
        <w:t>deployment;</w:t>
      </w:r>
      <w:proofErr w:type="gramEnd"/>
      <w:r>
        <w:t xml:space="preserve"> efficient technologies to allow using the exclusively licensed 12 GHz range for wide area coverage.</w:t>
      </w:r>
    </w:p>
    <w:p w14:paraId="6E504287" w14:textId="77777777" w:rsidR="00C729F7" w:rsidRDefault="00C729F7" w:rsidP="00C729F7">
      <w:pPr>
        <w:pStyle w:val="RAN4observation0"/>
      </w:pPr>
      <w:bookmarkStart w:id="48" w:name="_Toc210047021"/>
      <w:bookmarkStart w:id="49" w:name="_Toc213417896"/>
      <w:r>
        <w:t>FCC is assessing</w:t>
      </w:r>
      <w:r w:rsidRPr="007750D0">
        <w:t xml:space="preserve"> the potential of the bands </w:t>
      </w:r>
      <w:r w:rsidRPr="00810210">
        <w:t xml:space="preserve">3.1-3.45 GHz </w:t>
      </w:r>
      <w:r>
        <w:t>12.7-13.25</w:t>
      </w:r>
      <w:r w:rsidRPr="00810210">
        <w:t xml:space="preserve"> GHz</w:t>
      </w:r>
      <w:r>
        <w:t>.</w:t>
      </w:r>
      <w:bookmarkEnd w:id="48"/>
      <w:bookmarkEnd w:id="49"/>
    </w:p>
    <w:p w14:paraId="1815316D" w14:textId="77777777" w:rsidR="00C729F7" w:rsidRDefault="00C729F7" w:rsidP="00C729F7">
      <w:r w:rsidRPr="00076014">
        <w:t xml:space="preserve">Figure 2.4-2 </w:t>
      </w:r>
      <w:r>
        <w:t>provides a snapshot of mid-band frequencies that are considered at regional level for 6G based on harmonized conditions as per the WRC-23 decisions, new bands under study for WRC-27, and additional bands considered by the USA for its internal market.</w:t>
      </w:r>
    </w:p>
    <w:p w14:paraId="0015EA29" w14:textId="77777777" w:rsidR="00C729F7" w:rsidRDefault="00C729F7" w:rsidP="00C729F7">
      <w:pPr>
        <w:spacing w:after="0"/>
        <w:jc w:val="center"/>
      </w:pPr>
      <w:r w:rsidRPr="00D27D7C">
        <w:rPr>
          <w:noProof/>
        </w:rPr>
        <w:drawing>
          <wp:inline distT="0" distB="0" distL="0" distR="0" wp14:anchorId="56442705" wp14:editId="502AB10F">
            <wp:extent cx="4457700" cy="3035673"/>
            <wp:effectExtent l="0" t="0" r="0" b="0"/>
            <wp:docPr id="577999897" name="Picture 1" descr="A map of the world with different colored contine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999897" name="Picture 1" descr="A map of the world with different colored continents&#10;&#10;AI-generated content may be incorrect."/>
                    <pic:cNvPicPr/>
                  </pic:nvPicPr>
                  <pic:blipFill rotWithShape="1">
                    <a:blip r:embed="rId20"/>
                    <a:srcRect b="3176"/>
                    <a:stretch>
                      <a:fillRect/>
                    </a:stretch>
                  </pic:blipFill>
                  <pic:spPr bwMode="auto">
                    <a:xfrm>
                      <a:off x="0" y="0"/>
                      <a:ext cx="4537810" cy="3090228"/>
                    </a:xfrm>
                    <a:prstGeom prst="rect">
                      <a:avLst/>
                    </a:prstGeom>
                    <a:ln>
                      <a:noFill/>
                    </a:ln>
                    <a:extLst>
                      <a:ext uri="{53640926-AAD7-44D8-BBD7-CCE9431645EC}">
                        <a14:shadowObscured xmlns:a14="http://schemas.microsoft.com/office/drawing/2010/main"/>
                      </a:ext>
                    </a:extLst>
                  </pic:spPr>
                </pic:pic>
              </a:graphicData>
            </a:graphic>
          </wp:inline>
        </w:drawing>
      </w:r>
    </w:p>
    <w:p w14:paraId="63C4C5EA" w14:textId="77777777" w:rsidR="00C729F7" w:rsidRDefault="00C729F7" w:rsidP="00C729F7">
      <w:pPr>
        <w:jc w:val="center"/>
      </w:pPr>
      <w:r w:rsidRPr="00DA6098">
        <w:rPr>
          <w:b/>
          <w:bCs/>
        </w:rPr>
        <w:t>Figure 2.</w:t>
      </w:r>
      <w:r>
        <w:rPr>
          <w:b/>
          <w:bCs/>
        </w:rPr>
        <w:t>4</w:t>
      </w:r>
      <w:r w:rsidRPr="00DA6098">
        <w:rPr>
          <w:b/>
          <w:bCs/>
        </w:rPr>
        <w:t>-</w:t>
      </w:r>
      <w:r>
        <w:rPr>
          <w:b/>
          <w:bCs/>
        </w:rPr>
        <w:t>2</w:t>
      </w:r>
      <w:r w:rsidRPr="00DA6098">
        <w:rPr>
          <w:b/>
          <w:bCs/>
        </w:rPr>
        <w:t xml:space="preserve"> </w:t>
      </w:r>
      <w:r w:rsidRPr="00E25368">
        <w:rPr>
          <w:b/>
          <w:bCs/>
        </w:rPr>
        <w:t xml:space="preserve">Mid-band spectrum considered for 6G: </w:t>
      </w:r>
      <w:r>
        <w:rPr>
          <w:b/>
          <w:bCs/>
        </w:rPr>
        <w:br/>
      </w:r>
      <w:r w:rsidRPr="00E25368">
        <w:rPr>
          <w:b/>
          <w:bCs/>
        </w:rPr>
        <w:t>Harmonized bands as per WRC-23 and new bands under study for WRC-27</w:t>
      </w:r>
    </w:p>
    <w:p w14:paraId="0EE9837F" w14:textId="77777777" w:rsidR="00C729F7" w:rsidRDefault="00C729F7" w:rsidP="00C729F7">
      <w:r>
        <w:lastRenderedPageBreak/>
        <w:t xml:space="preserve">From </w:t>
      </w:r>
      <w:r w:rsidRPr="003B557A">
        <w:t>Figure 2.4-2</w:t>
      </w:r>
      <w:r>
        <w:t xml:space="preserve"> it can be noted that the upper 6GHz band (1) is already decided for unlicensed use in some regions while it is under discussion in the remaining. For the around 7GHz band (2) this is potentially available for 6GR in all regions. The same in principle applies for the around 15GHz band (3). </w:t>
      </w:r>
      <w:r w:rsidRPr="00B40EE9">
        <w:t xml:space="preserve">However, we note that </w:t>
      </w:r>
      <w:r>
        <w:t xml:space="preserve">for (3) </w:t>
      </w:r>
      <w:r w:rsidRPr="00B40EE9">
        <w:t xml:space="preserve">the incumbents in </w:t>
      </w:r>
      <w:r>
        <w:t>this</w:t>
      </w:r>
      <w:r w:rsidRPr="00B40EE9">
        <w:t xml:space="preserve"> bands make coexistence with 6G systems challenging.</w:t>
      </w:r>
      <w:r>
        <w:t xml:space="preserve"> For (4) this has limited </w:t>
      </w:r>
      <w:r w:rsidRPr="00225B9D">
        <w:t xml:space="preserve">geographical footprint </w:t>
      </w:r>
      <w:r>
        <w:t>and also faces</w:t>
      </w:r>
      <w:r w:rsidRPr="00225B9D">
        <w:t xml:space="preserve"> coexistence </w:t>
      </w:r>
      <w:r>
        <w:t>challenges</w:t>
      </w:r>
      <w:r w:rsidRPr="00225B9D">
        <w:t>.</w:t>
      </w:r>
      <w:r>
        <w:t xml:space="preserve"> The USA specific bands around 3 GHz and 12 GHz (5) currently no other geographical adaptation.</w:t>
      </w:r>
    </w:p>
    <w:p w14:paraId="2F6645F3" w14:textId="77777777" w:rsidR="00C729F7" w:rsidRPr="007236C9" w:rsidRDefault="00C729F7" w:rsidP="00C729F7">
      <w:r>
        <w:t xml:space="preserve">In conclusion from the above the currently most attractive band, in our view, for 6GR studies within RAN4 is the around 7GHz band. </w:t>
      </w:r>
    </w:p>
    <w:p w14:paraId="01965891" w14:textId="77777777" w:rsidR="00C729F7" w:rsidRDefault="00C729F7" w:rsidP="00C729F7">
      <w:pPr>
        <w:pStyle w:val="RAN4observation0"/>
      </w:pPr>
      <w:bookmarkStart w:id="50" w:name="_Toc210047022"/>
      <w:bookmarkStart w:id="51" w:name="_Toc213417897"/>
      <w:r>
        <w:t>T</w:t>
      </w:r>
      <w:r w:rsidRPr="00706284">
        <w:t>he current</w:t>
      </w:r>
      <w:r>
        <w:t>ly</w:t>
      </w:r>
      <w:r w:rsidRPr="00706284">
        <w:t xml:space="preserve"> most attractive band, in our view, for 6GR studies within RAN4 is the around 7GHz band</w:t>
      </w:r>
      <w:r>
        <w:t>.</w:t>
      </w:r>
      <w:bookmarkEnd w:id="50"/>
      <w:bookmarkEnd w:id="51"/>
    </w:p>
    <w:p w14:paraId="7FD06B9E" w14:textId="77777777" w:rsidR="00C729F7" w:rsidRDefault="00C729F7" w:rsidP="00C729F7">
      <w:r>
        <w:t xml:space="preserve">Even </w:t>
      </w:r>
      <w:r w:rsidRPr="00222F8E">
        <w:t xml:space="preserve">ITU-R will </w:t>
      </w:r>
      <w:r>
        <w:t xml:space="preserve">not </w:t>
      </w:r>
      <w:r w:rsidRPr="00222F8E">
        <w:t xml:space="preserve">make the final decision of whether to assign the </w:t>
      </w:r>
      <w:r w:rsidRPr="00706284">
        <w:t xml:space="preserve">around 7GHz </w:t>
      </w:r>
      <w:r w:rsidRPr="00222F8E">
        <w:t xml:space="preserve">spectrum to 6G </w:t>
      </w:r>
      <w:r>
        <w:t>before</w:t>
      </w:r>
      <w:r w:rsidRPr="00222F8E">
        <w:t xml:space="preserve"> WRC-27</w:t>
      </w:r>
      <w:r w:rsidRPr="00E344F0">
        <w:t xml:space="preserve"> </w:t>
      </w:r>
      <w:r>
        <w:t>(</w:t>
      </w:r>
      <w:proofErr w:type="gramStart"/>
      <w:r>
        <w:t>October,</w:t>
      </w:r>
      <w:proofErr w:type="gramEnd"/>
      <w:r>
        <w:t xml:space="preserve"> 2027 - Shanghai, China) we still believe RAN4 should focus on this band initially for 6GR development.</w:t>
      </w:r>
    </w:p>
    <w:p w14:paraId="01391552" w14:textId="79BD8E66" w:rsidR="00C729F7" w:rsidRDefault="00C729F7" w:rsidP="00E87A0E">
      <w:pPr>
        <w:pStyle w:val="RAN4proposal"/>
      </w:pPr>
      <w:bookmarkStart w:id="52" w:name="_Toc210047023"/>
      <w:bookmarkStart w:id="53" w:name="_Toc213417898"/>
      <w:r>
        <w:t>RAN4 shall initially focus on a new 6GR band around 7GHz.</w:t>
      </w:r>
      <w:bookmarkEnd w:id="52"/>
      <w:bookmarkEnd w:id="53"/>
    </w:p>
    <w:p w14:paraId="6D82DE84" w14:textId="77777777" w:rsidR="00C729F7" w:rsidRPr="00751768" w:rsidRDefault="00C729F7" w:rsidP="00751768"/>
    <w:p w14:paraId="4FAAACC6" w14:textId="4E7EC65A" w:rsidR="00CD7492" w:rsidRPr="00614DD8" w:rsidRDefault="00CD7492" w:rsidP="003D5D44">
      <w:pPr>
        <w:pStyle w:val="RAN4H1"/>
      </w:pPr>
      <w:r w:rsidRPr="00614DD8">
        <w:t>Conclusion</w:t>
      </w:r>
    </w:p>
    <w:p w14:paraId="61B3121A" w14:textId="45E7EC9E" w:rsidR="000665C4" w:rsidRPr="00614DD8" w:rsidRDefault="007236C9" w:rsidP="000665C4">
      <w:pPr>
        <w:rPr>
          <w:lang w:val="en-US"/>
        </w:rPr>
      </w:pPr>
      <w:bookmarkStart w:id="54" w:name="_Toc116995849"/>
      <w:r w:rsidRPr="007236C9">
        <w:rPr>
          <w:lang w:val="en-US"/>
        </w:rPr>
        <w:t xml:space="preserve">In this contribution we present our view on </w:t>
      </w:r>
      <w:r w:rsidR="00246B22" w:rsidRPr="00246B22">
        <w:rPr>
          <w:lang w:val="en-US"/>
        </w:rPr>
        <w:t>6GR General RF and UE RF</w:t>
      </w:r>
      <w:r w:rsidRPr="007236C9">
        <w:rPr>
          <w:lang w:val="en-US"/>
        </w:rPr>
        <w:t>. The following observations have been made</w:t>
      </w:r>
      <w:r w:rsidR="000665C4" w:rsidRPr="48EB6057">
        <w:rPr>
          <w:lang w:val="en-US"/>
        </w:rPr>
        <w:t>:</w:t>
      </w:r>
    </w:p>
    <w:p w14:paraId="1BA5BF11" w14:textId="77777777" w:rsidR="005240C5" w:rsidRDefault="000665C4">
      <w:pPr>
        <w:pStyle w:val="TOC4"/>
        <w:rPr>
          <w:rFonts w:asciiTheme="minorHAnsi" w:eastAsiaTheme="minorEastAsia" w:hAnsiTheme="minorHAnsi"/>
          <w:noProof/>
          <w:kern w:val="2"/>
          <w:sz w:val="24"/>
          <w:szCs w:val="24"/>
          <w:lang w:val="en-US"/>
          <w14:ligatures w14:val="standardContextual"/>
        </w:rPr>
      </w:pPr>
      <w:r w:rsidRPr="00614DD8">
        <w:rPr>
          <w:b/>
          <w:i/>
          <w:iCs/>
          <w:lang w:val="en-US"/>
        </w:rPr>
        <w:fldChar w:fldCharType="begin"/>
      </w:r>
      <w:r w:rsidRPr="00614DD8">
        <w:rPr>
          <w:i/>
          <w:iCs/>
          <w:lang w:val="en-US"/>
        </w:rPr>
        <w:instrText xml:space="preserve"> TOC \n \h \z \t "RAN4 proposal,5,RAN4 observation,4" </w:instrText>
      </w:r>
      <w:r w:rsidRPr="00614DD8">
        <w:rPr>
          <w:b/>
          <w:i/>
          <w:iCs/>
          <w:lang w:val="en-US"/>
        </w:rPr>
        <w:fldChar w:fldCharType="separate"/>
      </w:r>
      <w:hyperlink w:anchor="_Toc213417870" w:history="1">
        <w:r w:rsidR="005240C5" w:rsidRPr="00EE0E0C">
          <w:rPr>
            <w:rStyle w:val="Hyperlink"/>
            <w:b/>
            <w:noProof/>
          </w:rPr>
          <w:t>Observation 1:</w:t>
        </w:r>
        <w:r w:rsidR="005240C5" w:rsidRPr="00EE0E0C">
          <w:rPr>
            <w:rStyle w:val="Hyperlink"/>
            <w:noProof/>
          </w:rPr>
          <w:t xml:space="preserve"> FR2 is separated into two sub-ranges FR2-1 and FR2-2, where FR2-2 currently is only for unlicensed deployment of NR.</w:t>
        </w:r>
      </w:hyperlink>
    </w:p>
    <w:p w14:paraId="409F9E62" w14:textId="77777777" w:rsidR="005240C5" w:rsidRDefault="005240C5">
      <w:pPr>
        <w:pStyle w:val="TOC5"/>
        <w:rPr>
          <w:rFonts w:asciiTheme="minorHAnsi" w:eastAsiaTheme="minorEastAsia" w:hAnsiTheme="minorHAnsi"/>
          <w:b w:val="0"/>
          <w:noProof/>
          <w:kern w:val="2"/>
          <w:sz w:val="24"/>
          <w:szCs w:val="24"/>
          <w:lang w:val="en-US"/>
          <w14:ligatures w14:val="standardContextual"/>
        </w:rPr>
      </w:pPr>
      <w:hyperlink w:anchor="_Toc213417871" w:history="1">
        <w:r w:rsidRPr="00EE0E0C">
          <w:rPr>
            <w:rStyle w:val="Hyperlink"/>
            <w:noProof/>
          </w:rPr>
          <w:t>Proposal 1: RAN4 shall excluded the FR2-2 range from the discussions in alignment with the SID.</w:t>
        </w:r>
      </w:hyperlink>
    </w:p>
    <w:p w14:paraId="468BD9B6" w14:textId="77777777" w:rsidR="005240C5" w:rsidRDefault="005240C5">
      <w:pPr>
        <w:pStyle w:val="TOC4"/>
        <w:rPr>
          <w:rFonts w:asciiTheme="minorHAnsi" w:eastAsiaTheme="minorEastAsia" w:hAnsiTheme="minorHAnsi"/>
          <w:noProof/>
          <w:kern w:val="2"/>
          <w:sz w:val="24"/>
          <w:szCs w:val="24"/>
          <w:lang w:val="en-US"/>
          <w14:ligatures w14:val="standardContextual"/>
        </w:rPr>
      </w:pPr>
      <w:hyperlink w:anchor="_Toc213417872" w:history="1">
        <w:r w:rsidRPr="00EE0E0C">
          <w:rPr>
            <w:rStyle w:val="Hyperlink"/>
            <w:b/>
            <w:noProof/>
          </w:rPr>
          <w:t>Observation 2:</w:t>
        </w:r>
        <w:r w:rsidRPr="00EE0E0C">
          <w:rPr>
            <w:rStyle w:val="Hyperlink"/>
            <w:noProof/>
          </w:rPr>
          <w:t xml:space="preserve"> NR currently has multiple frequency range definitions dependent on not only frequency range but also deployment type. The frequency ranges defined for TN deployments are not aligned to those defined for NTN deployments.</w:t>
        </w:r>
      </w:hyperlink>
    </w:p>
    <w:p w14:paraId="7E2BF939" w14:textId="77777777" w:rsidR="005240C5" w:rsidRDefault="005240C5">
      <w:pPr>
        <w:pStyle w:val="TOC4"/>
        <w:rPr>
          <w:rFonts w:asciiTheme="minorHAnsi" w:eastAsiaTheme="minorEastAsia" w:hAnsiTheme="minorHAnsi"/>
          <w:noProof/>
          <w:kern w:val="2"/>
          <w:sz w:val="24"/>
          <w:szCs w:val="24"/>
          <w:lang w:val="en-US"/>
          <w14:ligatures w14:val="standardContextual"/>
        </w:rPr>
      </w:pPr>
      <w:hyperlink w:anchor="_Toc213417873" w:history="1">
        <w:r w:rsidRPr="00EE0E0C">
          <w:rPr>
            <w:rStyle w:val="Hyperlink"/>
            <w:b/>
            <w:noProof/>
          </w:rPr>
          <w:t>Observation 3:</w:t>
        </w:r>
        <w:r w:rsidRPr="00EE0E0C">
          <w:rPr>
            <w:rStyle w:val="Hyperlink"/>
            <w:noProof/>
          </w:rPr>
          <w:t xml:space="preserve"> Other WGs are already using sub-ranges of the current frequency ranges for discussion.</w:t>
        </w:r>
      </w:hyperlink>
    </w:p>
    <w:p w14:paraId="7805054D" w14:textId="77777777" w:rsidR="005240C5" w:rsidRDefault="005240C5">
      <w:pPr>
        <w:pStyle w:val="TOC5"/>
        <w:rPr>
          <w:rFonts w:asciiTheme="minorHAnsi" w:eastAsiaTheme="minorEastAsia" w:hAnsiTheme="minorHAnsi"/>
          <w:b w:val="0"/>
          <w:noProof/>
          <w:kern w:val="2"/>
          <w:sz w:val="24"/>
          <w:szCs w:val="24"/>
          <w:lang w:val="en-US"/>
          <w14:ligatures w14:val="standardContextual"/>
        </w:rPr>
      </w:pPr>
      <w:hyperlink w:anchor="_Toc213417874" w:history="1">
        <w:r w:rsidRPr="00EE0E0C">
          <w:rPr>
            <w:rStyle w:val="Hyperlink"/>
            <w:noProof/>
          </w:rPr>
          <w:t>Proposal 2: RAN4 shall conclude that a band around 7 GHz can be included into FR1</w:t>
        </w:r>
      </w:hyperlink>
    </w:p>
    <w:p w14:paraId="73A95614" w14:textId="77777777" w:rsidR="005240C5" w:rsidRDefault="005240C5">
      <w:pPr>
        <w:pStyle w:val="TOC5"/>
        <w:rPr>
          <w:rFonts w:asciiTheme="minorHAnsi" w:eastAsiaTheme="minorEastAsia" w:hAnsiTheme="minorHAnsi"/>
          <w:b w:val="0"/>
          <w:noProof/>
          <w:kern w:val="2"/>
          <w:sz w:val="24"/>
          <w:szCs w:val="24"/>
          <w:lang w:val="en-US"/>
          <w14:ligatures w14:val="standardContextual"/>
        </w:rPr>
      </w:pPr>
      <w:hyperlink w:anchor="_Toc213417875" w:history="1">
        <w:r w:rsidRPr="00EE0E0C">
          <w:rPr>
            <w:rStyle w:val="Hyperlink"/>
            <w:noProof/>
          </w:rPr>
          <w:t>Proposal 3: RAN4 shall consider the proposal of extending FR1 upwards and FR2 downwards to cover the frequency range between FR1 and FR2 as the basis for a 6G frequency range framework. This does not preclude the option of defining sub-ranges under FR1 and FR2.</w:t>
        </w:r>
      </w:hyperlink>
    </w:p>
    <w:p w14:paraId="425827E4" w14:textId="77777777" w:rsidR="005240C5" w:rsidRDefault="005240C5">
      <w:pPr>
        <w:pStyle w:val="TOC5"/>
        <w:rPr>
          <w:rFonts w:asciiTheme="minorHAnsi" w:eastAsiaTheme="minorEastAsia" w:hAnsiTheme="minorHAnsi"/>
          <w:b w:val="0"/>
          <w:noProof/>
          <w:kern w:val="2"/>
          <w:sz w:val="24"/>
          <w:szCs w:val="24"/>
          <w:lang w:val="en-US"/>
          <w14:ligatures w14:val="standardContextual"/>
        </w:rPr>
      </w:pPr>
      <w:hyperlink w:anchor="_Toc213417876" w:history="1">
        <w:r w:rsidRPr="00EE0E0C">
          <w:rPr>
            <w:rStyle w:val="Hyperlink"/>
            <w:noProof/>
          </w:rPr>
          <w:t>Proposal 4: RAN4 shall consider pairing frequency sub-ranges to specified assumptions and requirements in 6GR.</w:t>
        </w:r>
      </w:hyperlink>
    </w:p>
    <w:p w14:paraId="4AFF1B96" w14:textId="77777777" w:rsidR="005240C5" w:rsidRDefault="005240C5">
      <w:pPr>
        <w:pStyle w:val="TOC5"/>
        <w:rPr>
          <w:rFonts w:asciiTheme="minorHAnsi" w:eastAsiaTheme="minorEastAsia" w:hAnsiTheme="minorHAnsi"/>
          <w:b w:val="0"/>
          <w:noProof/>
          <w:kern w:val="2"/>
          <w:sz w:val="24"/>
          <w:szCs w:val="24"/>
          <w:lang w:val="en-US"/>
          <w14:ligatures w14:val="standardContextual"/>
        </w:rPr>
      </w:pPr>
      <w:hyperlink w:anchor="_Toc213417877" w:history="1">
        <w:r w:rsidRPr="00EE0E0C">
          <w:rPr>
            <w:rStyle w:val="Hyperlink"/>
            <w:noProof/>
          </w:rPr>
          <w:t>Proposal 5: RAN4 shall discuss a split into multiple frequency sub-ranges spanning from around 400MHz to around 52GHz in 6GR.</w:t>
        </w:r>
      </w:hyperlink>
    </w:p>
    <w:p w14:paraId="37D22774" w14:textId="77777777" w:rsidR="005240C5" w:rsidRDefault="005240C5">
      <w:pPr>
        <w:pStyle w:val="TOC4"/>
        <w:rPr>
          <w:rFonts w:asciiTheme="minorHAnsi" w:eastAsiaTheme="minorEastAsia" w:hAnsiTheme="minorHAnsi"/>
          <w:noProof/>
          <w:kern w:val="2"/>
          <w:sz w:val="24"/>
          <w:szCs w:val="24"/>
          <w:lang w:val="en-US"/>
          <w14:ligatures w14:val="standardContextual"/>
        </w:rPr>
      </w:pPr>
      <w:hyperlink w:anchor="_Toc213417878" w:history="1">
        <w:r w:rsidRPr="00EE0E0C">
          <w:rPr>
            <w:rStyle w:val="Hyperlink"/>
            <w:b/>
            <w:noProof/>
          </w:rPr>
          <w:t>Observation 4:</w:t>
        </w:r>
        <w:r w:rsidRPr="00EE0E0C">
          <w:rPr>
            <w:rStyle w:val="Hyperlink"/>
            <w:noProof/>
          </w:rPr>
          <w:t xml:space="preserve"> NR concept for band numbering has proven successful and very usable. This concept means that 3G, 4G, and 5G had used same band number if frequency arrangement is same. LTE uses Arabic numeral, WCDMA uses Roman numeral and NR has prefix on “n” in front of Roman numeral.</w:t>
        </w:r>
      </w:hyperlink>
    </w:p>
    <w:p w14:paraId="14405E71" w14:textId="77777777" w:rsidR="005240C5" w:rsidRDefault="005240C5">
      <w:pPr>
        <w:pStyle w:val="TOC5"/>
        <w:rPr>
          <w:rFonts w:asciiTheme="minorHAnsi" w:eastAsiaTheme="minorEastAsia" w:hAnsiTheme="minorHAnsi"/>
          <w:b w:val="0"/>
          <w:noProof/>
          <w:kern w:val="2"/>
          <w:sz w:val="24"/>
          <w:szCs w:val="24"/>
          <w:lang w:val="en-US"/>
          <w14:ligatures w14:val="standardContextual"/>
        </w:rPr>
      </w:pPr>
      <w:hyperlink w:anchor="_Toc213417879" w:history="1">
        <w:r w:rsidRPr="00EE0E0C">
          <w:rPr>
            <w:rStyle w:val="Hyperlink"/>
            <w:noProof/>
          </w:rPr>
          <w:t>Proposal 1: For 6GR operating band naming re-use prefix concept from NR but replace “n” with “s”.</w:t>
        </w:r>
      </w:hyperlink>
    </w:p>
    <w:p w14:paraId="0473CB9A" w14:textId="77777777" w:rsidR="005240C5" w:rsidRDefault="005240C5">
      <w:pPr>
        <w:pStyle w:val="TOC5"/>
        <w:rPr>
          <w:rFonts w:asciiTheme="minorHAnsi" w:eastAsiaTheme="minorEastAsia" w:hAnsiTheme="minorHAnsi"/>
          <w:b w:val="0"/>
          <w:noProof/>
          <w:kern w:val="2"/>
          <w:sz w:val="24"/>
          <w:szCs w:val="24"/>
          <w:lang w:val="en-US"/>
          <w14:ligatures w14:val="standardContextual"/>
        </w:rPr>
      </w:pPr>
      <w:hyperlink w:anchor="_Toc213417880" w:history="1">
        <w:r w:rsidRPr="00EE0E0C">
          <w:rPr>
            <w:rStyle w:val="Hyperlink"/>
            <w:noProof/>
          </w:rPr>
          <w:t>Proposal 2: Keep using numbering space 1-512 for new bands according to the division shown in Table 2.2.1-1.</w:t>
        </w:r>
      </w:hyperlink>
    </w:p>
    <w:p w14:paraId="69568F69" w14:textId="77777777" w:rsidR="005240C5" w:rsidRDefault="005240C5">
      <w:pPr>
        <w:pStyle w:val="TOC4"/>
        <w:rPr>
          <w:rFonts w:asciiTheme="minorHAnsi" w:eastAsiaTheme="minorEastAsia" w:hAnsiTheme="minorHAnsi"/>
          <w:noProof/>
          <w:kern w:val="2"/>
          <w:sz w:val="24"/>
          <w:szCs w:val="24"/>
          <w:lang w:val="en-US"/>
          <w14:ligatures w14:val="standardContextual"/>
        </w:rPr>
      </w:pPr>
      <w:hyperlink w:anchor="_Toc213417881" w:history="1">
        <w:r w:rsidRPr="00EE0E0C">
          <w:rPr>
            <w:rStyle w:val="Hyperlink"/>
            <w:b/>
            <w:noProof/>
          </w:rPr>
          <w:t>Observation 5:</w:t>
        </w:r>
        <w:r w:rsidRPr="00EE0E0C">
          <w:rPr>
            <w:rStyle w:val="Hyperlink"/>
            <w:noProof/>
          </w:rPr>
          <w:t xml:space="preserve"> The underscore seems not to have a clearly unified defined purpose in current band combinations.</w:t>
        </w:r>
      </w:hyperlink>
    </w:p>
    <w:p w14:paraId="38C89F63" w14:textId="77777777" w:rsidR="005240C5" w:rsidRDefault="005240C5">
      <w:pPr>
        <w:pStyle w:val="TOC4"/>
        <w:rPr>
          <w:rFonts w:asciiTheme="minorHAnsi" w:eastAsiaTheme="minorEastAsia" w:hAnsiTheme="minorHAnsi"/>
          <w:noProof/>
          <w:kern w:val="2"/>
          <w:sz w:val="24"/>
          <w:szCs w:val="24"/>
          <w:lang w:val="en-US"/>
          <w14:ligatures w14:val="standardContextual"/>
        </w:rPr>
      </w:pPr>
      <w:hyperlink w:anchor="_Toc213417882" w:history="1">
        <w:r w:rsidRPr="00EE0E0C">
          <w:rPr>
            <w:rStyle w:val="Hyperlink"/>
            <w:b/>
            <w:noProof/>
          </w:rPr>
          <w:t>Observation 6:</w:t>
        </w:r>
        <w:r w:rsidRPr="00EE0E0C">
          <w:rPr>
            <w:rStyle w:val="Hyperlink"/>
            <w:noProof/>
          </w:rPr>
          <w:t xml:space="preserve"> The band prefix already can be used to identify DC combinations.</w:t>
        </w:r>
      </w:hyperlink>
    </w:p>
    <w:p w14:paraId="0397768E" w14:textId="77777777" w:rsidR="005240C5" w:rsidRDefault="005240C5">
      <w:pPr>
        <w:pStyle w:val="TOC4"/>
        <w:rPr>
          <w:rFonts w:asciiTheme="minorHAnsi" w:eastAsiaTheme="minorEastAsia" w:hAnsiTheme="minorHAnsi"/>
          <w:noProof/>
          <w:kern w:val="2"/>
          <w:sz w:val="24"/>
          <w:szCs w:val="24"/>
          <w:lang w:val="en-US"/>
          <w14:ligatures w14:val="standardContextual"/>
        </w:rPr>
      </w:pPr>
      <w:hyperlink w:anchor="_Toc213417883" w:history="1">
        <w:r w:rsidRPr="00EE0E0C">
          <w:rPr>
            <w:rStyle w:val="Hyperlink"/>
            <w:b/>
            <w:noProof/>
          </w:rPr>
          <w:t>Observation 7:</w:t>
        </w:r>
        <w:r w:rsidRPr="00EE0E0C">
          <w:rPr>
            <w:rStyle w:val="Hyperlink"/>
            <w:noProof/>
          </w:rPr>
          <w:t xml:space="preserve"> There is no need to declare the type, but use only CA, when more carriers are combined.</w:t>
        </w:r>
      </w:hyperlink>
    </w:p>
    <w:p w14:paraId="64ABD40A" w14:textId="77777777" w:rsidR="005240C5" w:rsidRDefault="005240C5">
      <w:pPr>
        <w:pStyle w:val="TOC5"/>
        <w:rPr>
          <w:rFonts w:asciiTheme="minorHAnsi" w:eastAsiaTheme="minorEastAsia" w:hAnsiTheme="minorHAnsi"/>
          <w:b w:val="0"/>
          <w:noProof/>
          <w:kern w:val="2"/>
          <w:sz w:val="24"/>
          <w:szCs w:val="24"/>
          <w:lang w:val="en-US"/>
          <w14:ligatures w14:val="standardContextual"/>
        </w:rPr>
      </w:pPr>
      <w:hyperlink w:anchor="_Toc213417884" w:history="1">
        <w:r w:rsidRPr="00EE0E0C">
          <w:rPr>
            <w:rStyle w:val="Hyperlink"/>
            <w:noProof/>
          </w:rPr>
          <w:t>Proposal 3: RAN4 shall not to use RAT or device type indications for band combinations in 6GR.</w:t>
        </w:r>
      </w:hyperlink>
    </w:p>
    <w:p w14:paraId="2EF27527" w14:textId="77777777" w:rsidR="005240C5" w:rsidRDefault="005240C5">
      <w:pPr>
        <w:pStyle w:val="TOC4"/>
        <w:rPr>
          <w:rFonts w:asciiTheme="minorHAnsi" w:eastAsiaTheme="minorEastAsia" w:hAnsiTheme="minorHAnsi"/>
          <w:noProof/>
          <w:kern w:val="2"/>
          <w:sz w:val="24"/>
          <w:szCs w:val="24"/>
          <w:lang w:val="en-US"/>
          <w14:ligatures w14:val="standardContextual"/>
        </w:rPr>
      </w:pPr>
      <w:hyperlink w:anchor="_Toc213417885" w:history="1">
        <w:r w:rsidRPr="00EE0E0C">
          <w:rPr>
            <w:rStyle w:val="Hyperlink"/>
            <w:b/>
            <w:noProof/>
          </w:rPr>
          <w:t>Observation 8:</w:t>
        </w:r>
        <w:r w:rsidRPr="00EE0E0C">
          <w:rPr>
            <w:rStyle w:val="Hyperlink"/>
            <w:noProof/>
          </w:rPr>
          <w:t xml:space="preserve"> Removing special band combination declarations would allow simplification of band combination notation.</w:t>
        </w:r>
      </w:hyperlink>
    </w:p>
    <w:p w14:paraId="268513C4" w14:textId="77777777" w:rsidR="005240C5" w:rsidRDefault="005240C5">
      <w:pPr>
        <w:pStyle w:val="TOC5"/>
        <w:rPr>
          <w:rFonts w:asciiTheme="minorHAnsi" w:eastAsiaTheme="minorEastAsia" w:hAnsiTheme="minorHAnsi"/>
          <w:b w:val="0"/>
          <w:noProof/>
          <w:kern w:val="2"/>
          <w:sz w:val="24"/>
          <w:szCs w:val="24"/>
          <w:lang w:val="en-US"/>
          <w14:ligatures w14:val="standardContextual"/>
        </w:rPr>
      </w:pPr>
      <w:hyperlink w:anchor="_Toc213417886" w:history="1">
        <w:r w:rsidRPr="00EE0E0C">
          <w:rPr>
            <w:rStyle w:val="Hyperlink"/>
            <w:noProof/>
          </w:rPr>
          <w:t>Proposal 4: In 6GR the band combination syntax shall consists of a single type (“CA”), underscore separators for Type, DL and UL, one or more downlink bands separated by dash and one or more uplink bands separated by dash.</w:t>
        </w:r>
      </w:hyperlink>
    </w:p>
    <w:p w14:paraId="5A53FB53" w14:textId="77777777" w:rsidR="005240C5" w:rsidRDefault="005240C5">
      <w:pPr>
        <w:pStyle w:val="TOC4"/>
        <w:rPr>
          <w:rFonts w:asciiTheme="minorHAnsi" w:eastAsiaTheme="minorEastAsia" w:hAnsiTheme="minorHAnsi"/>
          <w:noProof/>
          <w:kern w:val="2"/>
          <w:sz w:val="24"/>
          <w:szCs w:val="24"/>
          <w:lang w:val="en-US"/>
          <w14:ligatures w14:val="standardContextual"/>
        </w:rPr>
      </w:pPr>
      <w:hyperlink w:anchor="_Toc213417887" w:history="1">
        <w:r w:rsidRPr="00EE0E0C">
          <w:rPr>
            <w:rStyle w:val="Hyperlink"/>
            <w:b/>
            <w:noProof/>
          </w:rPr>
          <w:t>Observation 9:</w:t>
        </w:r>
        <w:r w:rsidRPr="00EE0E0C">
          <w:rPr>
            <w:rStyle w:val="Hyperlink"/>
            <w:noProof/>
          </w:rPr>
          <w:t xml:space="preserve"> In NR UL and DL switching schemes means that the CA notation is no longer enough to identify a radio state configuration.</w:t>
        </w:r>
      </w:hyperlink>
    </w:p>
    <w:p w14:paraId="62DD9709" w14:textId="77777777" w:rsidR="005240C5" w:rsidRDefault="005240C5">
      <w:pPr>
        <w:pStyle w:val="TOC5"/>
        <w:rPr>
          <w:rFonts w:asciiTheme="minorHAnsi" w:eastAsiaTheme="minorEastAsia" w:hAnsiTheme="minorHAnsi"/>
          <w:b w:val="0"/>
          <w:noProof/>
          <w:kern w:val="2"/>
          <w:sz w:val="24"/>
          <w:szCs w:val="24"/>
          <w:lang w:val="en-US"/>
          <w14:ligatures w14:val="standardContextual"/>
        </w:rPr>
      </w:pPr>
      <w:hyperlink w:anchor="_Toc213417888" w:history="1">
        <w:r w:rsidRPr="00EE0E0C">
          <w:rPr>
            <w:rStyle w:val="Hyperlink"/>
            <w:noProof/>
          </w:rPr>
          <w:t>Proposal 5: RAN4 shall consider how CA attributes as DL/UL switching can be clearly identifiable for 6GR band combinations</w:t>
        </w:r>
      </w:hyperlink>
    </w:p>
    <w:p w14:paraId="69F82615" w14:textId="77777777" w:rsidR="005240C5" w:rsidRDefault="005240C5">
      <w:pPr>
        <w:pStyle w:val="TOC4"/>
        <w:rPr>
          <w:rFonts w:asciiTheme="minorHAnsi" w:eastAsiaTheme="minorEastAsia" w:hAnsiTheme="minorHAnsi"/>
          <w:noProof/>
          <w:kern w:val="2"/>
          <w:sz w:val="24"/>
          <w:szCs w:val="24"/>
          <w:lang w:val="en-US"/>
          <w14:ligatures w14:val="standardContextual"/>
        </w:rPr>
      </w:pPr>
      <w:hyperlink w:anchor="_Toc213417889" w:history="1">
        <w:r w:rsidRPr="00EE0E0C">
          <w:rPr>
            <w:rStyle w:val="Hyperlink"/>
            <w:b/>
            <w:noProof/>
          </w:rPr>
          <w:t>Observation 10:</w:t>
        </w:r>
        <w:r w:rsidRPr="00EE0E0C">
          <w:rPr>
            <w:rStyle w:val="Hyperlink"/>
            <w:noProof/>
          </w:rPr>
          <w:t xml:space="preserve"> In the current NR specification multiple tables are now listing band combination specific requirements. To understand the meaning of the requirements for a single band combination one will have to consult numerous long tables in the specification.</w:t>
        </w:r>
      </w:hyperlink>
    </w:p>
    <w:p w14:paraId="6FD9F075" w14:textId="77777777" w:rsidR="005240C5" w:rsidRDefault="005240C5">
      <w:pPr>
        <w:pStyle w:val="TOC4"/>
        <w:rPr>
          <w:rFonts w:asciiTheme="minorHAnsi" w:eastAsiaTheme="minorEastAsia" w:hAnsiTheme="minorHAnsi"/>
          <w:noProof/>
          <w:kern w:val="2"/>
          <w:sz w:val="24"/>
          <w:szCs w:val="24"/>
          <w:lang w:val="en-US"/>
          <w14:ligatures w14:val="standardContextual"/>
        </w:rPr>
      </w:pPr>
      <w:hyperlink w:anchor="_Toc213417890" w:history="1">
        <w:r w:rsidRPr="00EE0E0C">
          <w:rPr>
            <w:rStyle w:val="Hyperlink"/>
            <w:b/>
            <w:noProof/>
          </w:rPr>
          <w:t>Observation 11:</w:t>
        </w:r>
        <w:r w:rsidRPr="00EE0E0C">
          <w:rPr>
            <w:rStyle w:val="Hyperlink"/>
            <w:noProof/>
          </w:rPr>
          <w:t xml:space="preserve"> Currently the RAN4 UE RF specification has separate tables for each UE relaxation type, e.g. MSD due to harmonic mixing issues.</w:t>
        </w:r>
      </w:hyperlink>
    </w:p>
    <w:p w14:paraId="16EAA9E0" w14:textId="77777777" w:rsidR="005240C5" w:rsidRDefault="005240C5">
      <w:pPr>
        <w:pStyle w:val="TOC4"/>
        <w:rPr>
          <w:rFonts w:asciiTheme="minorHAnsi" w:eastAsiaTheme="minorEastAsia" w:hAnsiTheme="minorHAnsi"/>
          <w:noProof/>
          <w:kern w:val="2"/>
          <w:sz w:val="24"/>
          <w:szCs w:val="24"/>
          <w:lang w:val="en-US"/>
          <w14:ligatures w14:val="standardContextual"/>
        </w:rPr>
      </w:pPr>
      <w:hyperlink w:anchor="_Toc213417891" w:history="1">
        <w:r w:rsidRPr="00EE0E0C">
          <w:rPr>
            <w:rStyle w:val="Hyperlink"/>
            <w:b/>
            <w:noProof/>
          </w:rPr>
          <w:t>Observation 12:</w:t>
        </w:r>
        <w:r w:rsidRPr="00EE0E0C">
          <w:rPr>
            <w:rStyle w:val="Hyperlink"/>
            <w:noProof/>
          </w:rPr>
          <w:t xml:space="preserve"> The to move listing of supported band combinations to a database instead of listing them in the DOCX specification is not addressing the band combination specific requirements.</w:t>
        </w:r>
      </w:hyperlink>
    </w:p>
    <w:p w14:paraId="4383A31B" w14:textId="77777777" w:rsidR="005240C5" w:rsidRDefault="005240C5">
      <w:pPr>
        <w:pStyle w:val="TOC5"/>
        <w:rPr>
          <w:rFonts w:asciiTheme="minorHAnsi" w:eastAsiaTheme="minorEastAsia" w:hAnsiTheme="minorHAnsi"/>
          <w:b w:val="0"/>
          <w:noProof/>
          <w:kern w:val="2"/>
          <w:sz w:val="24"/>
          <w:szCs w:val="24"/>
          <w:lang w:val="en-US"/>
          <w14:ligatures w14:val="standardContextual"/>
        </w:rPr>
      </w:pPr>
      <w:hyperlink w:anchor="_Toc213417892" w:history="1">
        <w:r w:rsidRPr="00EE0E0C">
          <w:rPr>
            <w:rStyle w:val="Hyperlink"/>
            <w:noProof/>
          </w:rPr>
          <w:t>Proposal 6: RAN4 shall consider for 6GR to providing a single list of supported band combinations together with their impairments requiring relaxation to provide an overview instead of spreading the information over multiple tables in the specification.</w:t>
        </w:r>
      </w:hyperlink>
    </w:p>
    <w:p w14:paraId="2C152D82" w14:textId="77777777" w:rsidR="005240C5" w:rsidRDefault="005240C5">
      <w:pPr>
        <w:pStyle w:val="TOC4"/>
        <w:rPr>
          <w:rFonts w:asciiTheme="minorHAnsi" w:eastAsiaTheme="minorEastAsia" w:hAnsiTheme="minorHAnsi"/>
          <w:noProof/>
          <w:kern w:val="2"/>
          <w:sz w:val="24"/>
          <w:szCs w:val="24"/>
          <w:lang w:val="en-US"/>
          <w14:ligatures w14:val="standardContextual"/>
        </w:rPr>
      </w:pPr>
      <w:hyperlink w:anchor="_Toc213417893" w:history="1">
        <w:r w:rsidRPr="00EE0E0C">
          <w:rPr>
            <w:rStyle w:val="Hyperlink"/>
            <w:b/>
            <w:noProof/>
          </w:rPr>
          <w:t>Observation 13:</w:t>
        </w:r>
        <w:r w:rsidRPr="00EE0E0C">
          <w:rPr>
            <w:rStyle w:val="Hyperlink"/>
            <w:noProof/>
          </w:rPr>
          <w:t xml:space="preserve"> Spectrum for 6GR is based on the availability provided by international designations for IMT and regional regulations.</w:t>
        </w:r>
      </w:hyperlink>
    </w:p>
    <w:p w14:paraId="437FA0E1" w14:textId="77777777" w:rsidR="005240C5" w:rsidRDefault="005240C5">
      <w:pPr>
        <w:pStyle w:val="TOC4"/>
        <w:rPr>
          <w:rFonts w:asciiTheme="minorHAnsi" w:eastAsiaTheme="minorEastAsia" w:hAnsiTheme="minorHAnsi"/>
          <w:noProof/>
          <w:kern w:val="2"/>
          <w:sz w:val="24"/>
          <w:szCs w:val="24"/>
          <w:lang w:val="en-US"/>
          <w14:ligatures w14:val="standardContextual"/>
        </w:rPr>
      </w:pPr>
      <w:hyperlink w:anchor="_Toc213417894" w:history="1">
        <w:r w:rsidRPr="00EE0E0C">
          <w:rPr>
            <w:rStyle w:val="Hyperlink"/>
            <w:b/>
            <w:noProof/>
          </w:rPr>
          <w:t>Observation 14:</w:t>
        </w:r>
        <w:r w:rsidRPr="00EE0E0C">
          <w:rPr>
            <w:rStyle w:val="Hyperlink"/>
            <w:noProof/>
          </w:rPr>
          <w:t xml:space="preserve"> Potential new 6GR TN spectrum around is focused around 7GHz, 12GHz and 15GHz</w:t>
        </w:r>
      </w:hyperlink>
    </w:p>
    <w:p w14:paraId="124BAA9D" w14:textId="77777777" w:rsidR="005240C5" w:rsidRDefault="005240C5">
      <w:pPr>
        <w:pStyle w:val="TOC4"/>
        <w:rPr>
          <w:rFonts w:asciiTheme="minorHAnsi" w:eastAsiaTheme="minorEastAsia" w:hAnsiTheme="minorHAnsi"/>
          <w:noProof/>
          <w:kern w:val="2"/>
          <w:sz w:val="24"/>
          <w:szCs w:val="24"/>
          <w:lang w:val="en-US"/>
          <w14:ligatures w14:val="standardContextual"/>
        </w:rPr>
      </w:pPr>
      <w:hyperlink w:anchor="_Toc213417895" w:history="1">
        <w:r w:rsidRPr="00EE0E0C">
          <w:rPr>
            <w:rStyle w:val="Hyperlink"/>
            <w:b/>
            <w:noProof/>
          </w:rPr>
          <w:t>Observation 15:</w:t>
        </w:r>
        <w:r w:rsidRPr="00EE0E0C">
          <w:rPr>
            <w:rStyle w:val="Hyperlink"/>
            <w:noProof/>
          </w:rPr>
          <w:t xml:space="preserve"> ITU-R is engaging in defining the studies to evaluate the potential of the bands 4.4-4.8, 7.1-8.4 GHz and 14.8-15.35 GHz</w:t>
        </w:r>
      </w:hyperlink>
    </w:p>
    <w:p w14:paraId="7BDCF876" w14:textId="77777777" w:rsidR="005240C5" w:rsidRDefault="005240C5">
      <w:pPr>
        <w:pStyle w:val="TOC4"/>
        <w:rPr>
          <w:rFonts w:asciiTheme="minorHAnsi" w:eastAsiaTheme="minorEastAsia" w:hAnsiTheme="minorHAnsi"/>
          <w:noProof/>
          <w:kern w:val="2"/>
          <w:sz w:val="24"/>
          <w:szCs w:val="24"/>
          <w:lang w:val="en-US"/>
          <w14:ligatures w14:val="standardContextual"/>
        </w:rPr>
      </w:pPr>
      <w:hyperlink w:anchor="_Toc213417896" w:history="1">
        <w:r w:rsidRPr="00EE0E0C">
          <w:rPr>
            <w:rStyle w:val="Hyperlink"/>
            <w:b/>
            <w:noProof/>
          </w:rPr>
          <w:t>Observation 16:</w:t>
        </w:r>
        <w:r w:rsidRPr="00EE0E0C">
          <w:rPr>
            <w:rStyle w:val="Hyperlink"/>
            <w:noProof/>
          </w:rPr>
          <w:t xml:space="preserve"> FCC is assessing the potential of the bands 3.1-3.45 GHz 12.7-13.25 GHz.</w:t>
        </w:r>
      </w:hyperlink>
    </w:p>
    <w:p w14:paraId="6734C63E" w14:textId="77777777" w:rsidR="005240C5" w:rsidRDefault="005240C5">
      <w:pPr>
        <w:pStyle w:val="TOC4"/>
        <w:rPr>
          <w:rFonts w:asciiTheme="minorHAnsi" w:eastAsiaTheme="minorEastAsia" w:hAnsiTheme="minorHAnsi"/>
          <w:noProof/>
          <w:kern w:val="2"/>
          <w:sz w:val="24"/>
          <w:szCs w:val="24"/>
          <w:lang w:val="en-US"/>
          <w14:ligatures w14:val="standardContextual"/>
        </w:rPr>
      </w:pPr>
      <w:hyperlink w:anchor="_Toc213417897" w:history="1">
        <w:r w:rsidRPr="00EE0E0C">
          <w:rPr>
            <w:rStyle w:val="Hyperlink"/>
            <w:b/>
            <w:noProof/>
          </w:rPr>
          <w:t>Observation 17:</w:t>
        </w:r>
        <w:r w:rsidRPr="00EE0E0C">
          <w:rPr>
            <w:rStyle w:val="Hyperlink"/>
            <w:noProof/>
          </w:rPr>
          <w:t xml:space="preserve"> The currently most attractive band, in our view, for 6GR studies within RAN4 is the around 7GHz band.</w:t>
        </w:r>
      </w:hyperlink>
    </w:p>
    <w:p w14:paraId="6EA630A2" w14:textId="77777777" w:rsidR="005240C5" w:rsidRDefault="005240C5">
      <w:pPr>
        <w:pStyle w:val="TOC5"/>
        <w:rPr>
          <w:rFonts w:asciiTheme="minorHAnsi" w:eastAsiaTheme="minorEastAsia" w:hAnsiTheme="minorHAnsi"/>
          <w:b w:val="0"/>
          <w:noProof/>
          <w:kern w:val="2"/>
          <w:sz w:val="24"/>
          <w:szCs w:val="24"/>
          <w:lang w:val="en-US"/>
          <w14:ligatures w14:val="standardContextual"/>
        </w:rPr>
      </w:pPr>
      <w:hyperlink w:anchor="_Toc213417898" w:history="1">
        <w:r w:rsidRPr="00EE0E0C">
          <w:rPr>
            <w:rStyle w:val="Hyperlink"/>
            <w:noProof/>
          </w:rPr>
          <w:t>Proposal 7: RAN4 shall initially focus on a new 6GR band around 7GHz.</w:t>
        </w:r>
      </w:hyperlink>
    </w:p>
    <w:p w14:paraId="669DE243" w14:textId="78A49735" w:rsidR="00847264" w:rsidRPr="00614DD8" w:rsidRDefault="000665C4" w:rsidP="008C39F7">
      <w:pPr>
        <w:rPr>
          <w:lang w:val="en-US"/>
        </w:rPr>
      </w:pPr>
      <w:r w:rsidRPr="00614DD8">
        <w:rPr>
          <w:lang w:val="en-US"/>
        </w:rPr>
        <w:fldChar w:fldCharType="end"/>
      </w:r>
    </w:p>
    <w:p w14:paraId="6E61D21D" w14:textId="201A3AB4" w:rsidR="003B659E" w:rsidRPr="00614DD8" w:rsidRDefault="003B659E" w:rsidP="003D5D44">
      <w:pPr>
        <w:pStyle w:val="RAN4H1"/>
        <w:numPr>
          <w:ilvl w:val="0"/>
          <w:numId w:val="0"/>
        </w:numPr>
        <w:ind w:left="360"/>
      </w:pPr>
      <w:r w:rsidRPr="00614DD8">
        <w:t>References</w:t>
      </w:r>
      <w:bookmarkEnd w:id="54"/>
    </w:p>
    <w:p w14:paraId="7144D90B" w14:textId="6227DF94" w:rsidR="008B1EFB" w:rsidRPr="0043057F" w:rsidRDefault="00EF2917" w:rsidP="0043057F">
      <w:pPr>
        <w:pStyle w:val="Reference"/>
        <w:rPr>
          <w:bCs/>
        </w:rPr>
      </w:pPr>
      <w:r w:rsidRPr="00EF2917">
        <w:rPr>
          <w:bCs/>
        </w:rPr>
        <w:t>RP-252912</w:t>
      </w:r>
      <w:r w:rsidR="0043057F" w:rsidRPr="0043057F">
        <w:rPr>
          <w:bCs/>
        </w:rPr>
        <w:t xml:space="preserve">, </w:t>
      </w:r>
      <w:r w:rsidR="0044181A" w:rsidRPr="0044181A">
        <w:rPr>
          <w:bCs/>
        </w:rPr>
        <w:t>Revised SID: Study on 6G Radio</w:t>
      </w:r>
    </w:p>
    <w:p w14:paraId="5FB68945" w14:textId="239A4B3B" w:rsidR="00E71995" w:rsidRPr="004B50F4" w:rsidRDefault="00E71995" w:rsidP="00DA6098">
      <w:pPr>
        <w:pStyle w:val="Reference"/>
        <w:rPr>
          <w:bCs/>
        </w:rPr>
      </w:pPr>
      <w:r w:rsidRPr="00550FD8">
        <w:t>R4-2511652</w:t>
      </w:r>
      <w:r>
        <w:t>, RAN4 6G Plan and Meeting Arrangement, RAN4#116, RAN4 Chair</w:t>
      </w:r>
    </w:p>
    <w:p w14:paraId="6C8FFD20" w14:textId="77777777" w:rsidR="004B50F4" w:rsidRDefault="004B50F4" w:rsidP="0094792A">
      <w:pPr>
        <w:pStyle w:val="Reference"/>
      </w:pPr>
      <w:r w:rsidRPr="0096407C">
        <w:rPr>
          <w:bCs/>
        </w:rPr>
        <w:t>R4-</w:t>
      </w:r>
      <w:r>
        <w:rPr>
          <w:bCs/>
        </w:rPr>
        <w:t xml:space="preserve">2413338, </w:t>
      </w:r>
      <w:r w:rsidRPr="0096407C">
        <w:rPr>
          <w:bCs/>
        </w:rPr>
        <w:t>On UE RF specifications table improvement</w:t>
      </w:r>
      <w:r>
        <w:rPr>
          <w:bCs/>
        </w:rPr>
        <w:t>, Nokia</w:t>
      </w:r>
    </w:p>
    <w:p w14:paraId="66ED40A1" w14:textId="50C9E62C" w:rsidR="00E71995" w:rsidRDefault="008C14E6" w:rsidP="0094792A">
      <w:pPr>
        <w:pStyle w:val="Reference"/>
        <w:rPr>
          <w:bCs/>
        </w:rPr>
      </w:pPr>
      <w:r w:rsidRPr="00726008">
        <w:t>R4-</w:t>
      </w:r>
      <w:r w:rsidRPr="008C14E6">
        <w:t>2514626</w:t>
      </w:r>
      <w:r>
        <w:t xml:space="preserve">, </w:t>
      </w:r>
      <w:r w:rsidR="00E06882" w:rsidRPr="00E06882">
        <w:t>WF on 6G Spectrum</w:t>
      </w:r>
      <w:r w:rsidR="00E06882">
        <w:t xml:space="preserve">, </w:t>
      </w:r>
      <w:r w:rsidR="0094792A" w:rsidRPr="0094792A">
        <w:t>Feature lead (Nokia)</w:t>
      </w:r>
    </w:p>
    <w:p w14:paraId="3BD01A79" w14:textId="5CBA6258" w:rsidR="004B50F4" w:rsidRPr="00E71995" w:rsidRDefault="008B6433" w:rsidP="0094792A">
      <w:pPr>
        <w:pStyle w:val="Reference"/>
        <w:rPr>
          <w:bCs/>
        </w:rPr>
      </w:pPr>
      <w:r w:rsidRPr="008B6433">
        <w:t>R4-2514511</w:t>
      </w:r>
      <w:r>
        <w:t xml:space="preserve">, </w:t>
      </w:r>
      <w:r w:rsidR="00D276EE" w:rsidRPr="00D276EE">
        <w:t>[116bis][104] Feature Lead Summary for 6G Spectrum</w:t>
      </w:r>
      <w:r w:rsidR="00D276EE">
        <w:t xml:space="preserve">, </w:t>
      </w:r>
      <w:r w:rsidR="00D276EE" w:rsidRPr="0094792A">
        <w:t>Feature lead (Nokia)</w:t>
      </w:r>
    </w:p>
    <w:sectPr w:rsidR="004B50F4" w:rsidRPr="00E71995" w:rsidSect="007A732C">
      <w:pgSz w:w="11907" w:h="16840" w:code="9"/>
      <w:pgMar w:top="993"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82719F" w14:textId="77777777" w:rsidR="00572495" w:rsidRDefault="00572495" w:rsidP="00001C9B">
      <w:pPr>
        <w:spacing w:after="0" w:line="240" w:lineRule="auto"/>
      </w:pPr>
      <w:r>
        <w:separator/>
      </w:r>
    </w:p>
  </w:endnote>
  <w:endnote w:type="continuationSeparator" w:id="0">
    <w:p w14:paraId="62EF9FDA" w14:textId="77777777" w:rsidR="00572495" w:rsidRDefault="00572495" w:rsidP="00001C9B">
      <w:pPr>
        <w:spacing w:after="0" w:line="240" w:lineRule="auto"/>
      </w:pPr>
      <w:r>
        <w:continuationSeparator/>
      </w:r>
    </w:p>
  </w:endnote>
  <w:endnote w:type="continuationNotice" w:id="1">
    <w:p w14:paraId="78DCE95C" w14:textId="77777777" w:rsidR="00572495" w:rsidRDefault="0057249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8DAC65" w14:textId="77777777" w:rsidR="00572495" w:rsidRDefault="00572495" w:rsidP="00001C9B">
      <w:pPr>
        <w:spacing w:after="0" w:line="240" w:lineRule="auto"/>
      </w:pPr>
      <w:r>
        <w:separator/>
      </w:r>
    </w:p>
  </w:footnote>
  <w:footnote w:type="continuationSeparator" w:id="0">
    <w:p w14:paraId="387C32A7" w14:textId="77777777" w:rsidR="00572495" w:rsidRDefault="00572495" w:rsidP="00001C9B">
      <w:pPr>
        <w:spacing w:after="0" w:line="240" w:lineRule="auto"/>
      </w:pPr>
      <w:r>
        <w:continuationSeparator/>
      </w:r>
    </w:p>
  </w:footnote>
  <w:footnote w:type="continuationNotice" w:id="1">
    <w:p w14:paraId="6EC0F835" w14:textId="77777777" w:rsidR="00572495" w:rsidRDefault="0057249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4655842"/>
    <w:multiLevelType w:val="hybridMultilevel"/>
    <w:tmpl w:val="54CC71A0"/>
    <w:lvl w:ilvl="0" w:tplc="A364A4BA">
      <w:start w:val="1"/>
      <w:numFmt w:val="bullet"/>
      <w:lvlText w:val=""/>
      <w:lvlJc w:val="left"/>
      <w:pPr>
        <w:ind w:left="1000" w:hanging="360"/>
      </w:pPr>
      <w:rPr>
        <w:rFonts w:ascii="Symbol" w:hAnsi="Symbol"/>
      </w:rPr>
    </w:lvl>
    <w:lvl w:ilvl="1" w:tplc="0E6831D8">
      <w:start w:val="1"/>
      <w:numFmt w:val="bullet"/>
      <w:lvlText w:val=""/>
      <w:lvlJc w:val="left"/>
      <w:pPr>
        <w:ind w:left="1000" w:hanging="360"/>
      </w:pPr>
      <w:rPr>
        <w:rFonts w:ascii="Symbol" w:hAnsi="Symbol"/>
      </w:rPr>
    </w:lvl>
    <w:lvl w:ilvl="2" w:tplc="8482F32C">
      <w:start w:val="1"/>
      <w:numFmt w:val="bullet"/>
      <w:lvlText w:val=""/>
      <w:lvlJc w:val="left"/>
      <w:pPr>
        <w:ind w:left="1000" w:hanging="360"/>
      </w:pPr>
      <w:rPr>
        <w:rFonts w:ascii="Symbol" w:hAnsi="Symbol"/>
      </w:rPr>
    </w:lvl>
    <w:lvl w:ilvl="3" w:tplc="8EBAD690">
      <w:start w:val="1"/>
      <w:numFmt w:val="bullet"/>
      <w:lvlText w:val=""/>
      <w:lvlJc w:val="left"/>
      <w:pPr>
        <w:ind w:left="1000" w:hanging="360"/>
      </w:pPr>
      <w:rPr>
        <w:rFonts w:ascii="Symbol" w:hAnsi="Symbol"/>
      </w:rPr>
    </w:lvl>
    <w:lvl w:ilvl="4" w:tplc="D728A61A">
      <w:start w:val="1"/>
      <w:numFmt w:val="bullet"/>
      <w:lvlText w:val=""/>
      <w:lvlJc w:val="left"/>
      <w:pPr>
        <w:ind w:left="1000" w:hanging="360"/>
      </w:pPr>
      <w:rPr>
        <w:rFonts w:ascii="Symbol" w:hAnsi="Symbol"/>
      </w:rPr>
    </w:lvl>
    <w:lvl w:ilvl="5" w:tplc="B538AF6C">
      <w:start w:val="1"/>
      <w:numFmt w:val="bullet"/>
      <w:lvlText w:val=""/>
      <w:lvlJc w:val="left"/>
      <w:pPr>
        <w:ind w:left="1000" w:hanging="360"/>
      </w:pPr>
      <w:rPr>
        <w:rFonts w:ascii="Symbol" w:hAnsi="Symbol"/>
      </w:rPr>
    </w:lvl>
    <w:lvl w:ilvl="6" w:tplc="3094E6F6">
      <w:start w:val="1"/>
      <w:numFmt w:val="bullet"/>
      <w:lvlText w:val=""/>
      <w:lvlJc w:val="left"/>
      <w:pPr>
        <w:ind w:left="1000" w:hanging="360"/>
      </w:pPr>
      <w:rPr>
        <w:rFonts w:ascii="Symbol" w:hAnsi="Symbol"/>
      </w:rPr>
    </w:lvl>
    <w:lvl w:ilvl="7" w:tplc="1402CCDC">
      <w:start w:val="1"/>
      <w:numFmt w:val="bullet"/>
      <w:lvlText w:val=""/>
      <w:lvlJc w:val="left"/>
      <w:pPr>
        <w:ind w:left="1000" w:hanging="360"/>
      </w:pPr>
      <w:rPr>
        <w:rFonts w:ascii="Symbol" w:hAnsi="Symbol"/>
      </w:rPr>
    </w:lvl>
    <w:lvl w:ilvl="8" w:tplc="A3045E34">
      <w:start w:val="1"/>
      <w:numFmt w:val="bullet"/>
      <w:lvlText w:val=""/>
      <w:lvlJc w:val="left"/>
      <w:pPr>
        <w:ind w:left="1000" w:hanging="360"/>
      </w:pPr>
      <w:rPr>
        <w:rFonts w:ascii="Symbol" w:hAnsi="Symbol"/>
      </w:rPr>
    </w:lvl>
  </w:abstractNum>
  <w:abstractNum w:abstractNumId="2" w15:restartNumberingAfterBreak="0">
    <w:nsid w:val="04C22A32"/>
    <w:multiLevelType w:val="hybridMultilevel"/>
    <w:tmpl w:val="BD34F68E"/>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A5341F7"/>
    <w:multiLevelType w:val="singleLevel"/>
    <w:tmpl w:val="D194A150"/>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0D285E73"/>
    <w:multiLevelType w:val="hybridMultilevel"/>
    <w:tmpl w:val="7F74F1A4"/>
    <w:lvl w:ilvl="0" w:tplc="77C4054C">
      <w:start w:val="1"/>
      <w:numFmt w:val="bullet"/>
      <w:lvlText w:val="•"/>
      <w:lvlJc w:val="left"/>
      <w:pPr>
        <w:tabs>
          <w:tab w:val="num" w:pos="720"/>
        </w:tabs>
        <w:ind w:left="720" w:hanging="360"/>
      </w:pPr>
      <w:rPr>
        <w:rFonts w:ascii="Arial" w:hAnsi="Arial" w:hint="default"/>
      </w:rPr>
    </w:lvl>
    <w:lvl w:ilvl="1" w:tplc="AD6A263E">
      <w:numFmt w:val="bullet"/>
      <w:lvlText w:val="•"/>
      <w:lvlJc w:val="left"/>
      <w:pPr>
        <w:tabs>
          <w:tab w:val="num" w:pos="1440"/>
        </w:tabs>
        <w:ind w:left="1440" w:hanging="360"/>
      </w:pPr>
      <w:rPr>
        <w:rFonts w:ascii="Arial" w:hAnsi="Arial" w:hint="default"/>
      </w:rPr>
    </w:lvl>
    <w:lvl w:ilvl="2" w:tplc="756E5D34" w:tentative="1">
      <w:start w:val="1"/>
      <w:numFmt w:val="bullet"/>
      <w:lvlText w:val="•"/>
      <w:lvlJc w:val="left"/>
      <w:pPr>
        <w:tabs>
          <w:tab w:val="num" w:pos="2160"/>
        </w:tabs>
        <w:ind w:left="2160" w:hanging="360"/>
      </w:pPr>
      <w:rPr>
        <w:rFonts w:ascii="Arial" w:hAnsi="Arial" w:hint="default"/>
      </w:rPr>
    </w:lvl>
    <w:lvl w:ilvl="3" w:tplc="FB8E0164" w:tentative="1">
      <w:start w:val="1"/>
      <w:numFmt w:val="bullet"/>
      <w:lvlText w:val="•"/>
      <w:lvlJc w:val="left"/>
      <w:pPr>
        <w:tabs>
          <w:tab w:val="num" w:pos="2880"/>
        </w:tabs>
        <w:ind w:left="2880" w:hanging="360"/>
      </w:pPr>
      <w:rPr>
        <w:rFonts w:ascii="Arial" w:hAnsi="Arial" w:hint="default"/>
      </w:rPr>
    </w:lvl>
    <w:lvl w:ilvl="4" w:tplc="C86ECA64" w:tentative="1">
      <w:start w:val="1"/>
      <w:numFmt w:val="bullet"/>
      <w:lvlText w:val="•"/>
      <w:lvlJc w:val="left"/>
      <w:pPr>
        <w:tabs>
          <w:tab w:val="num" w:pos="3600"/>
        </w:tabs>
        <w:ind w:left="3600" w:hanging="360"/>
      </w:pPr>
      <w:rPr>
        <w:rFonts w:ascii="Arial" w:hAnsi="Arial" w:hint="default"/>
      </w:rPr>
    </w:lvl>
    <w:lvl w:ilvl="5" w:tplc="18B2BD06" w:tentative="1">
      <w:start w:val="1"/>
      <w:numFmt w:val="bullet"/>
      <w:lvlText w:val="•"/>
      <w:lvlJc w:val="left"/>
      <w:pPr>
        <w:tabs>
          <w:tab w:val="num" w:pos="4320"/>
        </w:tabs>
        <w:ind w:left="4320" w:hanging="360"/>
      </w:pPr>
      <w:rPr>
        <w:rFonts w:ascii="Arial" w:hAnsi="Arial" w:hint="default"/>
      </w:rPr>
    </w:lvl>
    <w:lvl w:ilvl="6" w:tplc="07C0CA36" w:tentative="1">
      <w:start w:val="1"/>
      <w:numFmt w:val="bullet"/>
      <w:lvlText w:val="•"/>
      <w:lvlJc w:val="left"/>
      <w:pPr>
        <w:tabs>
          <w:tab w:val="num" w:pos="5040"/>
        </w:tabs>
        <w:ind w:left="5040" w:hanging="360"/>
      </w:pPr>
      <w:rPr>
        <w:rFonts w:ascii="Arial" w:hAnsi="Arial" w:hint="default"/>
      </w:rPr>
    </w:lvl>
    <w:lvl w:ilvl="7" w:tplc="0C1C1134" w:tentative="1">
      <w:start w:val="1"/>
      <w:numFmt w:val="bullet"/>
      <w:lvlText w:val="•"/>
      <w:lvlJc w:val="left"/>
      <w:pPr>
        <w:tabs>
          <w:tab w:val="num" w:pos="5760"/>
        </w:tabs>
        <w:ind w:left="5760" w:hanging="360"/>
      </w:pPr>
      <w:rPr>
        <w:rFonts w:ascii="Arial" w:hAnsi="Arial" w:hint="default"/>
      </w:rPr>
    </w:lvl>
    <w:lvl w:ilvl="8" w:tplc="7202363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E3A767B"/>
    <w:multiLevelType w:val="hybridMultilevel"/>
    <w:tmpl w:val="2AECF7CC"/>
    <w:lvl w:ilvl="0" w:tplc="79ECDBA0">
      <w:numFmt w:val="bullet"/>
      <w:lvlText w:val="-"/>
      <w:lvlJc w:val="left"/>
      <w:pPr>
        <w:ind w:left="720" w:hanging="360"/>
      </w:pPr>
      <w:rPr>
        <w:rFonts w:ascii="Aptos" w:eastAsia="Aptos" w:hAnsi="Apto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53A7F0A"/>
    <w:multiLevelType w:val="hybridMultilevel"/>
    <w:tmpl w:val="F482C82E"/>
    <w:lvl w:ilvl="0" w:tplc="18CC98E4">
      <w:start w:val="1"/>
      <w:numFmt w:val="bullet"/>
      <w:lvlText w:val="•"/>
      <w:lvlJc w:val="left"/>
      <w:pPr>
        <w:tabs>
          <w:tab w:val="num" w:pos="720"/>
        </w:tabs>
        <w:ind w:left="720" w:hanging="360"/>
      </w:pPr>
      <w:rPr>
        <w:rFonts w:ascii="Arial" w:hAnsi="Arial" w:hint="default"/>
      </w:rPr>
    </w:lvl>
    <w:lvl w:ilvl="1" w:tplc="D2B4EE04" w:tentative="1">
      <w:start w:val="1"/>
      <w:numFmt w:val="bullet"/>
      <w:lvlText w:val="•"/>
      <w:lvlJc w:val="left"/>
      <w:pPr>
        <w:tabs>
          <w:tab w:val="num" w:pos="1440"/>
        </w:tabs>
        <w:ind w:left="1440" w:hanging="360"/>
      </w:pPr>
      <w:rPr>
        <w:rFonts w:ascii="Arial" w:hAnsi="Arial" w:hint="default"/>
      </w:rPr>
    </w:lvl>
    <w:lvl w:ilvl="2" w:tplc="92BE083E" w:tentative="1">
      <w:start w:val="1"/>
      <w:numFmt w:val="bullet"/>
      <w:lvlText w:val="•"/>
      <w:lvlJc w:val="left"/>
      <w:pPr>
        <w:tabs>
          <w:tab w:val="num" w:pos="2160"/>
        </w:tabs>
        <w:ind w:left="2160" w:hanging="360"/>
      </w:pPr>
      <w:rPr>
        <w:rFonts w:ascii="Arial" w:hAnsi="Arial" w:hint="default"/>
      </w:rPr>
    </w:lvl>
    <w:lvl w:ilvl="3" w:tplc="8EF48A76" w:tentative="1">
      <w:start w:val="1"/>
      <w:numFmt w:val="bullet"/>
      <w:lvlText w:val="•"/>
      <w:lvlJc w:val="left"/>
      <w:pPr>
        <w:tabs>
          <w:tab w:val="num" w:pos="2880"/>
        </w:tabs>
        <w:ind w:left="2880" w:hanging="360"/>
      </w:pPr>
      <w:rPr>
        <w:rFonts w:ascii="Arial" w:hAnsi="Arial" w:hint="default"/>
      </w:rPr>
    </w:lvl>
    <w:lvl w:ilvl="4" w:tplc="78389574" w:tentative="1">
      <w:start w:val="1"/>
      <w:numFmt w:val="bullet"/>
      <w:lvlText w:val="•"/>
      <w:lvlJc w:val="left"/>
      <w:pPr>
        <w:tabs>
          <w:tab w:val="num" w:pos="3600"/>
        </w:tabs>
        <w:ind w:left="3600" w:hanging="360"/>
      </w:pPr>
      <w:rPr>
        <w:rFonts w:ascii="Arial" w:hAnsi="Arial" w:hint="default"/>
      </w:rPr>
    </w:lvl>
    <w:lvl w:ilvl="5" w:tplc="F16EA392" w:tentative="1">
      <w:start w:val="1"/>
      <w:numFmt w:val="bullet"/>
      <w:lvlText w:val="•"/>
      <w:lvlJc w:val="left"/>
      <w:pPr>
        <w:tabs>
          <w:tab w:val="num" w:pos="4320"/>
        </w:tabs>
        <w:ind w:left="4320" w:hanging="360"/>
      </w:pPr>
      <w:rPr>
        <w:rFonts w:ascii="Arial" w:hAnsi="Arial" w:hint="default"/>
      </w:rPr>
    </w:lvl>
    <w:lvl w:ilvl="6" w:tplc="A3F2FDF8" w:tentative="1">
      <w:start w:val="1"/>
      <w:numFmt w:val="bullet"/>
      <w:lvlText w:val="•"/>
      <w:lvlJc w:val="left"/>
      <w:pPr>
        <w:tabs>
          <w:tab w:val="num" w:pos="5040"/>
        </w:tabs>
        <w:ind w:left="5040" w:hanging="360"/>
      </w:pPr>
      <w:rPr>
        <w:rFonts w:ascii="Arial" w:hAnsi="Arial" w:hint="default"/>
      </w:rPr>
    </w:lvl>
    <w:lvl w:ilvl="7" w:tplc="97D67C34" w:tentative="1">
      <w:start w:val="1"/>
      <w:numFmt w:val="bullet"/>
      <w:lvlText w:val="•"/>
      <w:lvlJc w:val="left"/>
      <w:pPr>
        <w:tabs>
          <w:tab w:val="num" w:pos="5760"/>
        </w:tabs>
        <w:ind w:left="5760" w:hanging="360"/>
      </w:pPr>
      <w:rPr>
        <w:rFonts w:ascii="Arial" w:hAnsi="Arial" w:hint="default"/>
      </w:rPr>
    </w:lvl>
    <w:lvl w:ilvl="8" w:tplc="6BAAB8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7B94114"/>
    <w:multiLevelType w:val="hybridMultilevel"/>
    <w:tmpl w:val="D19CE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A1687D"/>
    <w:multiLevelType w:val="hybridMultilevel"/>
    <w:tmpl w:val="DB562ABE"/>
    <w:lvl w:ilvl="0" w:tplc="2AB01FD8">
      <w:start w:val="1"/>
      <w:numFmt w:val="low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25BD7C9E"/>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9C34C8A"/>
    <w:multiLevelType w:val="multilevel"/>
    <w:tmpl w:val="7BD89040"/>
    <w:lvl w:ilvl="0">
      <w:start w:val="1"/>
      <w:numFmt w:val="bullet"/>
      <w:lvlText w:val=""/>
      <w:lvlJc w:val="left"/>
      <w:pPr>
        <w:tabs>
          <w:tab w:val="num" w:pos="720"/>
        </w:tabs>
        <w:ind w:left="720" w:hanging="72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102273"/>
    <w:multiLevelType w:val="hybridMultilevel"/>
    <w:tmpl w:val="7DEE758C"/>
    <w:lvl w:ilvl="0" w:tplc="EC4CC796">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AD28EC"/>
    <w:multiLevelType w:val="hybridMultilevel"/>
    <w:tmpl w:val="32AEB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9AE0FEC"/>
    <w:multiLevelType w:val="hybridMultilevel"/>
    <w:tmpl w:val="2C342F3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40855F63"/>
    <w:multiLevelType w:val="hybridMultilevel"/>
    <w:tmpl w:val="92DC6478"/>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40DC0689"/>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6B43B9D"/>
    <w:multiLevelType w:val="hybridMultilevel"/>
    <w:tmpl w:val="343E7732"/>
    <w:lvl w:ilvl="0" w:tplc="BF30363A">
      <w:start w:val="1"/>
      <w:numFmt w:val="decimal"/>
      <w:pStyle w:val="RAN4Observation"/>
      <w:suff w:val="space"/>
      <w:lvlText w:val="Observation %1:"/>
      <w:lvlJc w:val="left"/>
      <w:pPr>
        <w:ind w:left="502"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6F97D74"/>
    <w:multiLevelType w:val="hybridMultilevel"/>
    <w:tmpl w:val="1B18DFA8"/>
    <w:lvl w:ilvl="0" w:tplc="17E87AEA">
      <w:start w:val="5"/>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7472F6A"/>
    <w:multiLevelType w:val="hybridMultilevel"/>
    <w:tmpl w:val="687833FC"/>
    <w:lvl w:ilvl="0" w:tplc="663ED19C">
      <w:start w:val="7"/>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7CD4510"/>
    <w:multiLevelType w:val="hybridMultilevel"/>
    <w:tmpl w:val="D2A80B08"/>
    <w:lvl w:ilvl="0" w:tplc="E16A5FFC">
      <w:numFmt w:val="bullet"/>
      <w:lvlText w:val="-"/>
      <w:lvlJc w:val="left"/>
      <w:pPr>
        <w:ind w:left="720" w:hanging="360"/>
      </w:pPr>
      <w:rPr>
        <w:rFonts w:ascii="Aptos" w:eastAsiaTheme="minorHAnsi" w:hAnsi="Apto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D6E3167"/>
    <w:multiLevelType w:val="hybridMultilevel"/>
    <w:tmpl w:val="4D9EFF00"/>
    <w:lvl w:ilvl="0" w:tplc="531E0BC6">
      <w:start w:val="1"/>
      <w:numFmt w:val="decimal"/>
      <w:pStyle w:val="RAN4proposal"/>
      <w:suff w:val="space"/>
      <w:lvlText w:val="Proposal %1:"/>
      <w:lvlJc w:val="left"/>
      <w:pPr>
        <w:ind w:left="2345"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1"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61EC536E"/>
    <w:multiLevelType w:val="hybridMultilevel"/>
    <w:tmpl w:val="DE121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5FA77B4"/>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65C217B"/>
    <w:multiLevelType w:val="multilevel"/>
    <w:tmpl w:val="26F041FA"/>
    <w:lvl w:ilvl="0">
      <w:start w:val="1"/>
      <w:numFmt w:val="decimal"/>
      <w:pStyle w:val="RAN4H1"/>
      <w:lvlText w:val="%1"/>
      <w:lvlJc w:val="left"/>
      <w:pPr>
        <w:ind w:left="360" w:hanging="360"/>
      </w:pPr>
      <w:rPr>
        <w:rFonts w:hint="default"/>
      </w:rPr>
    </w:lvl>
    <w:lvl w:ilvl="1">
      <w:start w:val="1"/>
      <w:numFmt w:val="decimal"/>
      <w:pStyle w:val="RAN4H2"/>
      <w:lvlText w:val="%1.%2"/>
      <w:lvlJc w:val="left"/>
      <w:pPr>
        <w:ind w:left="573"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689D2215"/>
    <w:multiLevelType w:val="hybridMultilevel"/>
    <w:tmpl w:val="3B00CA5E"/>
    <w:lvl w:ilvl="0" w:tplc="AA645812">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B81207"/>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DC956CA"/>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92749823">
    <w:abstractNumId w:val="29"/>
  </w:num>
  <w:num w:numId="2" w16cid:durableId="1456096507">
    <w:abstractNumId w:val="36"/>
  </w:num>
  <w:num w:numId="3" w16cid:durableId="1938362445">
    <w:abstractNumId w:val="21"/>
    <w:lvlOverride w:ilvl="0">
      <w:startOverride w:val="1"/>
    </w:lvlOverride>
  </w:num>
  <w:num w:numId="4" w16cid:durableId="913515990">
    <w:abstractNumId w:val="28"/>
    <w:lvlOverride w:ilvl="0">
      <w:startOverride w:val="1"/>
    </w:lvlOverride>
  </w:num>
  <w:num w:numId="5" w16cid:durableId="212620654">
    <w:abstractNumId w:val="2"/>
    <w:lvlOverride w:ilvl="0">
      <w:startOverride w:val="1"/>
    </w:lvlOverride>
  </w:num>
  <w:num w:numId="6" w16cid:durableId="1213689292">
    <w:abstractNumId w:val="16"/>
  </w:num>
  <w:num w:numId="7" w16cid:durableId="238291029">
    <w:abstractNumId w:val="37"/>
  </w:num>
  <w:num w:numId="8" w16cid:durableId="1275479054">
    <w:abstractNumId w:val="4"/>
  </w:num>
  <w:num w:numId="9" w16cid:durableId="182924579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18951265">
    <w:abstractNumId w:val="1"/>
  </w:num>
  <w:num w:numId="11" w16cid:durableId="838617724">
    <w:abstractNumId w:val="8"/>
  </w:num>
  <w:num w:numId="12" w16cid:durableId="1835757643">
    <w:abstractNumId w:val="25"/>
  </w:num>
  <w:num w:numId="13" w16cid:durableId="4943661">
    <w:abstractNumId w:val="11"/>
  </w:num>
  <w:num w:numId="14" w16cid:durableId="188228763">
    <w:abstractNumId w:val="28"/>
  </w:num>
  <w:num w:numId="15" w16cid:durableId="198443178">
    <w:abstractNumId w:val="2"/>
  </w:num>
  <w:num w:numId="16" w16cid:durableId="1448770520">
    <w:abstractNumId w:val="32"/>
  </w:num>
  <w:num w:numId="17" w16cid:durableId="1337730024">
    <w:abstractNumId w:val="17"/>
  </w:num>
  <w:num w:numId="18" w16cid:durableId="1936940549">
    <w:abstractNumId w:val="30"/>
  </w:num>
  <w:num w:numId="19" w16cid:durableId="1092553761">
    <w:abstractNumId w:val="26"/>
  </w:num>
  <w:num w:numId="20" w16cid:durableId="1434281712">
    <w:abstractNumId w:val="14"/>
  </w:num>
  <w:num w:numId="21" w16cid:durableId="294919715">
    <w:abstractNumId w:val="19"/>
  </w:num>
  <w:num w:numId="22" w16cid:durableId="80681869">
    <w:abstractNumId w:val="21"/>
  </w:num>
  <w:num w:numId="23" w16cid:durableId="596906362">
    <w:abstractNumId w:val="38"/>
  </w:num>
  <w:num w:numId="24" w16cid:durableId="1981496168">
    <w:abstractNumId w:val="20"/>
  </w:num>
  <w:num w:numId="25" w16cid:durableId="321932850">
    <w:abstractNumId w:val="13"/>
  </w:num>
  <w:num w:numId="26" w16cid:durableId="1305626197">
    <w:abstractNumId w:val="40"/>
  </w:num>
  <w:num w:numId="27" w16cid:durableId="2063138854">
    <w:abstractNumId w:val="35"/>
  </w:num>
  <w:num w:numId="28" w16cid:durableId="141848199">
    <w:abstractNumId w:val="7"/>
  </w:num>
  <w:num w:numId="29" w16cid:durableId="1768964946">
    <w:abstractNumId w:val="9"/>
  </w:num>
  <w:num w:numId="30" w16cid:durableId="1608847981">
    <w:abstractNumId w:val="6"/>
  </w:num>
  <w:num w:numId="31" w16cid:durableId="211818267">
    <w:abstractNumId w:val="10"/>
  </w:num>
  <w:num w:numId="32" w16cid:durableId="1256597828">
    <w:abstractNumId w:val="15"/>
  </w:num>
  <w:num w:numId="33" w16cid:durableId="1154487007">
    <w:abstractNumId w:val="27"/>
  </w:num>
  <w:num w:numId="34" w16cid:durableId="381178554">
    <w:abstractNumId w:val="24"/>
  </w:num>
  <w:num w:numId="35" w16cid:durableId="2124416032">
    <w:abstractNumId w:val="39"/>
  </w:num>
  <w:num w:numId="36" w16cid:durableId="1310280601">
    <w:abstractNumId w:val="18"/>
  </w:num>
  <w:num w:numId="37" w16cid:durableId="118233645">
    <w:abstractNumId w:val="34"/>
  </w:num>
  <w:num w:numId="38" w16cid:durableId="671296767">
    <w:abstractNumId w:val="31"/>
  </w:num>
  <w:num w:numId="39" w16cid:durableId="1174684462">
    <w:abstractNumId w:val="12"/>
  </w:num>
  <w:num w:numId="40" w16cid:durableId="1515420346">
    <w:abstractNumId w:val="0"/>
  </w:num>
  <w:num w:numId="41" w16cid:durableId="2087459430">
    <w:abstractNumId w:val="33"/>
  </w:num>
  <w:num w:numId="42" w16cid:durableId="1368143600">
    <w:abstractNumId w:val="3"/>
  </w:num>
  <w:num w:numId="43" w16cid:durableId="2034919152">
    <w:abstractNumId w:val="22"/>
  </w:num>
  <w:num w:numId="44" w16cid:durableId="1667514397">
    <w:abstractNumId w:val="2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841BCD"/>
    <w:rsid w:val="00000133"/>
    <w:rsid w:val="000001A8"/>
    <w:rsid w:val="0000084F"/>
    <w:rsid w:val="0000099C"/>
    <w:rsid w:val="00001203"/>
    <w:rsid w:val="000014E2"/>
    <w:rsid w:val="0000167A"/>
    <w:rsid w:val="00001C9B"/>
    <w:rsid w:val="00002683"/>
    <w:rsid w:val="00002832"/>
    <w:rsid w:val="00002E0D"/>
    <w:rsid w:val="00002E65"/>
    <w:rsid w:val="00002F5A"/>
    <w:rsid w:val="00003B75"/>
    <w:rsid w:val="00003B91"/>
    <w:rsid w:val="00003F2F"/>
    <w:rsid w:val="000040DC"/>
    <w:rsid w:val="000041E5"/>
    <w:rsid w:val="000045E8"/>
    <w:rsid w:val="00004684"/>
    <w:rsid w:val="00004B09"/>
    <w:rsid w:val="00004DB0"/>
    <w:rsid w:val="0000552B"/>
    <w:rsid w:val="00005B2F"/>
    <w:rsid w:val="00006859"/>
    <w:rsid w:val="00006934"/>
    <w:rsid w:val="00006A4A"/>
    <w:rsid w:val="00006C44"/>
    <w:rsid w:val="00006FB7"/>
    <w:rsid w:val="000076DB"/>
    <w:rsid w:val="00007864"/>
    <w:rsid w:val="000100E9"/>
    <w:rsid w:val="000111D2"/>
    <w:rsid w:val="00011784"/>
    <w:rsid w:val="0001194A"/>
    <w:rsid w:val="00012932"/>
    <w:rsid w:val="000134A5"/>
    <w:rsid w:val="000138A3"/>
    <w:rsid w:val="00014062"/>
    <w:rsid w:val="000146D7"/>
    <w:rsid w:val="00014755"/>
    <w:rsid w:val="000149C0"/>
    <w:rsid w:val="00014BD8"/>
    <w:rsid w:val="00014C8F"/>
    <w:rsid w:val="00015057"/>
    <w:rsid w:val="000151EF"/>
    <w:rsid w:val="000158D0"/>
    <w:rsid w:val="000164A8"/>
    <w:rsid w:val="0001662E"/>
    <w:rsid w:val="000168D1"/>
    <w:rsid w:val="000169F7"/>
    <w:rsid w:val="00016B3E"/>
    <w:rsid w:val="00016EF2"/>
    <w:rsid w:val="00017192"/>
    <w:rsid w:val="000173CD"/>
    <w:rsid w:val="000174B5"/>
    <w:rsid w:val="000177FB"/>
    <w:rsid w:val="00017DE4"/>
    <w:rsid w:val="00017FEA"/>
    <w:rsid w:val="0002018B"/>
    <w:rsid w:val="00020266"/>
    <w:rsid w:val="00020418"/>
    <w:rsid w:val="000209DE"/>
    <w:rsid w:val="00021344"/>
    <w:rsid w:val="0002216E"/>
    <w:rsid w:val="000223D7"/>
    <w:rsid w:val="000227F8"/>
    <w:rsid w:val="00022BBF"/>
    <w:rsid w:val="00022EB5"/>
    <w:rsid w:val="000239F5"/>
    <w:rsid w:val="000245F3"/>
    <w:rsid w:val="00024674"/>
    <w:rsid w:val="00024A91"/>
    <w:rsid w:val="00024D54"/>
    <w:rsid w:val="00024FF2"/>
    <w:rsid w:val="00025012"/>
    <w:rsid w:val="00025121"/>
    <w:rsid w:val="000252FC"/>
    <w:rsid w:val="000258BB"/>
    <w:rsid w:val="0002597B"/>
    <w:rsid w:val="00026166"/>
    <w:rsid w:val="0002616A"/>
    <w:rsid w:val="00026591"/>
    <w:rsid w:val="0002681E"/>
    <w:rsid w:val="00026A6A"/>
    <w:rsid w:val="00026A95"/>
    <w:rsid w:val="00026DC0"/>
    <w:rsid w:val="00026DC9"/>
    <w:rsid w:val="00027860"/>
    <w:rsid w:val="00027EE8"/>
    <w:rsid w:val="000301F5"/>
    <w:rsid w:val="0003067C"/>
    <w:rsid w:val="000309B6"/>
    <w:rsid w:val="00030B1E"/>
    <w:rsid w:val="00030C51"/>
    <w:rsid w:val="00030DEE"/>
    <w:rsid w:val="00031652"/>
    <w:rsid w:val="00031F48"/>
    <w:rsid w:val="000320B3"/>
    <w:rsid w:val="000322E0"/>
    <w:rsid w:val="00032312"/>
    <w:rsid w:val="000323E7"/>
    <w:rsid w:val="00032857"/>
    <w:rsid w:val="0003384C"/>
    <w:rsid w:val="00034EF1"/>
    <w:rsid w:val="00035600"/>
    <w:rsid w:val="00035A50"/>
    <w:rsid w:val="00036135"/>
    <w:rsid w:val="00036AB1"/>
    <w:rsid w:val="00036D34"/>
    <w:rsid w:val="00036F3E"/>
    <w:rsid w:val="00037359"/>
    <w:rsid w:val="00037640"/>
    <w:rsid w:val="00037D1E"/>
    <w:rsid w:val="000409E0"/>
    <w:rsid w:val="00041474"/>
    <w:rsid w:val="0004147B"/>
    <w:rsid w:val="00041794"/>
    <w:rsid w:val="00042600"/>
    <w:rsid w:val="00042C0E"/>
    <w:rsid w:val="00043527"/>
    <w:rsid w:val="00043617"/>
    <w:rsid w:val="00043BB8"/>
    <w:rsid w:val="000442A4"/>
    <w:rsid w:val="000446CC"/>
    <w:rsid w:val="00044ACD"/>
    <w:rsid w:val="00044B59"/>
    <w:rsid w:val="00044E33"/>
    <w:rsid w:val="00044F2B"/>
    <w:rsid w:val="000474D7"/>
    <w:rsid w:val="00047DD6"/>
    <w:rsid w:val="000508BD"/>
    <w:rsid w:val="00050DA6"/>
    <w:rsid w:val="00051B0B"/>
    <w:rsid w:val="00051C1D"/>
    <w:rsid w:val="00052084"/>
    <w:rsid w:val="00052E0A"/>
    <w:rsid w:val="00053477"/>
    <w:rsid w:val="00053531"/>
    <w:rsid w:val="0005357C"/>
    <w:rsid w:val="000536E6"/>
    <w:rsid w:val="0005427D"/>
    <w:rsid w:val="0005486C"/>
    <w:rsid w:val="00055017"/>
    <w:rsid w:val="0005524E"/>
    <w:rsid w:val="00055984"/>
    <w:rsid w:val="00055B9A"/>
    <w:rsid w:val="00055BBA"/>
    <w:rsid w:val="00055D59"/>
    <w:rsid w:val="000564B0"/>
    <w:rsid w:val="0005653D"/>
    <w:rsid w:val="0005688E"/>
    <w:rsid w:val="00056A15"/>
    <w:rsid w:val="00056BC4"/>
    <w:rsid w:val="00056CA7"/>
    <w:rsid w:val="00056E78"/>
    <w:rsid w:val="00057240"/>
    <w:rsid w:val="00060015"/>
    <w:rsid w:val="0006011B"/>
    <w:rsid w:val="00060432"/>
    <w:rsid w:val="00060777"/>
    <w:rsid w:val="00061173"/>
    <w:rsid w:val="00061298"/>
    <w:rsid w:val="000613F9"/>
    <w:rsid w:val="00061436"/>
    <w:rsid w:val="00061BD5"/>
    <w:rsid w:val="00062BC7"/>
    <w:rsid w:val="000641DF"/>
    <w:rsid w:val="00065B2B"/>
    <w:rsid w:val="00065BE6"/>
    <w:rsid w:val="0006640B"/>
    <w:rsid w:val="000665C4"/>
    <w:rsid w:val="00066608"/>
    <w:rsid w:val="0006678F"/>
    <w:rsid w:val="00066866"/>
    <w:rsid w:val="00066A6F"/>
    <w:rsid w:val="00066EAC"/>
    <w:rsid w:val="00067B2F"/>
    <w:rsid w:val="000700FC"/>
    <w:rsid w:val="0007014A"/>
    <w:rsid w:val="0007087A"/>
    <w:rsid w:val="0007105B"/>
    <w:rsid w:val="000714CF"/>
    <w:rsid w:val="00071A7B"/>
    <w:rsid w:val="00071B5E"/>
    <w:rsid w:val="00072172"/>
    <w:rsid w:val="00072185"/>
    <w:rsid w:val="00072CCA"/>
    <w:rsid w:val="000734E5"/>
    <w:rsid w:val="00073801"/>
    <w:rsid w:val="0007393D"/>
    <w:rsid w:val="00073EFA"/>
    <w:rsid w:val="00073F28"/>
    <w:rsid w:val="00074D7C"/>
    <w:rsid w:val="00075290"/>
    <w:rsid w:val="00075919"/>
    <w:rsid w:val="00075F09"/>
    <w:rsid w:val="00076014"/>
    <w:rsid w:val="0007616F"/>
    <w:rsid w:val="00076573"/>
    <w:rsid w:val="000766DF"/>
    <w:rsid w:val="000775B6"/>
    <w:rsid w:val="00077A4D"/>
    <w:rsid w:val="00080246"/>
    <w:rsid w:val="0008078D"/>
    <w:rsid w:val="00080873"/>
    <w:rsid w:val="0008099B"/>
    <w:rsid w:val="00080D02"/>
    <w:rsid w:val="00080F3E"/>
    <w:rsid w:val="00080F7F"/>
    <w:rsid w:val="000810BF"/>
    <w:rsid w:val="0008137F"/>
    <w:rsid w:val="000815E6"/>
    <w:rsid w:val="00081627"/>
    <w:rsid w:val="00081A10"/>
    <w:rsid w:val="00082032"/>
    <w:rsid w:val="000842EE"/>
    <w:rsid w:val="00084356"/>
    <w:rsid w:val="0008532D"/>
    <w:rsid w:val="00085A2C"/>
    <w:rsid w:val="0008612A"/>
    <w:rsid w:val="00086646"/>
    <w:rsid w:val="00086DD2"/>
    <w:rsid w:val="00086DEA"/>
    <w:rsid w:val="0008723F"/>
    <w:rsid w:val="0008765D"/>
    <w:rsid w:val="00087B50"/>
    <w:rsid w:val="00087CEB"/>
    <w:rsid w:val="00090511"/>
    <w:rsid w:val="00090D2C"/>
    <w:rsid w:val="00090E18"/>
    <w:rsid w:val="00090E51"/>
    <w:rsid w:val="00091A99"/>
    <w:rsid w:val="00091F88"/>
    <w:rsid w:val="000921F5"/>
    <w:rsid w:val="0009265A"/>
    <w:rsid w:val="000928D6"/>
    <w:rsid w:val="00092ABA"/>
    <w:rsid w:val="00092E24"/>
    <w:rsid w:val="000936B9"/>
    <w:rsid w:val="00093E1F"/>
    <w:rsid w:val="0009469C"/>
    <w:rsid w:val="000949C3"/>
    <w:rsid w:val="00094A32"/>
    <w:rsid w:val="00095D08"/>
    <w:rsid w:val="0009631E"/>
    <w:rsid w:val="000964DF"/>
    <w:rsid w:val="000965D8"/>
    <w:rsid w:val="00096773"/>
    <w:rsid w:val="000969FE"/>
    <w:rsid w:val="00097746"/>
    <w:rsid w:val="00097E32"/>
    <w:rsid w:val="000A0069"/>
    <w:rsid w:val="000A03C6"/>
    <w:rsid w:val="000A0732"/>
    <w:rsid w:val="000A0C7C"/>
    <w:rsid w:val="000A10BC"/>
    <w:rsid w:val="000A11C5"/>
    <w:rsid w:val="000A133A"/>
    <w:rsid w:val="000A17A6"/>
    <w:rsid w:val="000A17AF"/>
    <w:rsid w:val="000A193D"/>
    <w:rsid w:val="000A198A"/>
    <w:rsid w:val="000A21DD"/>
    <w:rsid w:val="000A3236"/>
    <w:rsid w:val="000A4228"/>
    <w:rsid w:val="000A48C2"/>
    <w:rsid w:val="000A4A4A"/>
    <w:rsid w:val="000A4CC2"/>
    <w:rsid w:val="000A507B"/>
    <w:rsid w:val="000A58AD"/>
    <w:rsid w:val="000A62A1"/>
    <w:rsid w:val="000A6540"/>
    <w:rsid w:val="000A681C"/>
    <w:rsid w:val="000A6A02"/>
    <w:rsid w:val="000A6F72"/>
    <w:rsid w:val="000A78AC"/>
    <w:rsid w:val="000A7CA4"/>
    <w:rsid w:val="000A7F53"/>
    <w:rsid w:val="000B0056"/>
    <w:rsid w:val="000B0F04"/>
    <w:rsid w:val="000B12F9"/>
    <w:rsid w:val="000B1679"/>
    <w:rsid w:val="000B1859"/>
    <w:rsid w:val="000B19C2"/>
    <w:rsid w:val="000B1F4B"/>
    <w:rsid w:val="000B2017"/>
    <w:rsid w:val="000B2239"/>
    <w:rsid w:val="000B3398"/>
    <w:rsid w:val="000B3C3C"/>
    <w:rsid w:val="000B42C5"/>
    <w:rsid w:val="000B46C1"/>
    <w:rsid w:val="000B4D11"/>
    <w:rsid w:val="000B549C"/>
    <w:rsid w:val="000B5768"/>
    <w:rsid w:val="000B5C4D"/>
    <w:rsid w:val="000B69FD"/>
    <w:rsid w:val="000B7034"/>
    <w:rsid w:val="000B7496"/>
    <w:rsid w:val="000C079E"/>
    <w:rsid w:val="000C1020"/>
    <w:rsid w:val="000C103D"/>
    <w:rsid w:val="000C160E"/>
    <w:rsid w:val="000C1C76"/>
    <w:rsid w:val="000C1D21"/>
    <w:rsid w:val="000C1EC9"/>
    <w:rsid w:val="000C2330"/>
    <w:rsid w:val="000C244D"/>
    <w:rsid w:val="000C2BEF"/>
    <w:rsid w:val="000C2BF8"/>
    <w:rsid w:val="000C2D45"/>
    <w:rsid w:val="000C2F46"/>
    <w:rsid w:val="000C3151"/>
    <w:rsid w:val="000C316C"/>
    <w:rsid w:val="000C340F"/>
    <w:rsid w:val="000C3B69"/>
    <w:rsid w:val="000C3C7B"/>
    <w:rsid w:val="000C404F"/>
    <w:rsid w:val="000C4380"/>
    <w:rsid w:val="000C4927"/>
    <w:rsid w:val="000C5804"/>
    <w:rsid w:val="000C645C"/>
    <w:rsid w:val="000C6E2D"/>
    <w:rsid w:val="000C6E7E"/>
    <w:rsid w:val="000D0339"/>
    <w:rsid w:val="000D086B"/>
    <w:rsid w:val="000D0936"/>
    <w:rsid w:val="000D0F93"/>
    <w:rsid w:val="000D1C98"/>
    <w:rsid w:val="000D1CAB"/>
    <w:rsid w:val="000D25A3"/>
    <w:rsid w:val="000D25E3"/>
    <w:rsid w:val="000D27E3"/>
    <w:rsid w:val="000D2B66"/>
    <w:rsid w:val="000D2BEA"/>
    <w:rsid w:val="000D3CF7"/>
    <w:rsid w:val="000D5447"/>
    <w:rsid w:val="000D56F5"/>
    <w:rsid w:val="000D5758"/>
    <w:rsid w:val="000D63FB"/>
    <w:rsid w:val="000D6778"/>
    <w:rsid w:val="000D69F2"/>
    <w:rsid w:val="000D6BE8"/>
    <w:rsid w:val="000D6C60"/>
    <w:rsid w:val="000D6D5B"/>
    <w:rsid w:val="000D719F"/>
    <w:rsid w:val="000D789F"/>
    <w:rsid w:val="000D7D04"/>
    <w:rsid w:val="000E09FB"/>
    <w:rsid w:val="000E16EC"/>
    <w:rsid w:val="000E18AC"/>
    <w:rsid w:val="000E1BA7"/>
    <w:rsid w:val="000E1EDB"/>
    <w:rsid w:val="000E39B6"/>
    <w:rsid w:val="000E3B7F"/>
    <w:rsid w:val="000E3FF0"/>
    <w:rsid w:val="000E40BD"/>
    <w:rsid w:val="000E4147"/>
    <w:rsid w:val="000E438C"/>
    <w:rsid w:val="000E4478"/>
    <w:rsid w:val="000E46A5"/>
    <w:rsid w:val="000E4A88"/>
    <w:rsid w:val="000E4E7D"/>
    <w:rsid w:val="000E5050"/>
    <w:rsid w:val="000E5069"/>
    <w:rsid w:val="000E5798"/>
    <w:rsid w:val="000E5C51"/>
    <w:rsid w:val="000E5FD9"/>
    <w:rsid w:val="000E65B0"/>
    <w:rsid w:val="000E65C8"/>
    <w:rsid w:val="000E6D93"/>
    <w:rsid w:val="000F00A7"/>
    <w:rsid w:val="000F0491"/>
    <w:rsid w:val="000F05DB"/>
    <w:rsid w:val="000F08F2"/>
    <w:rsid w:val="000F0A32"/>
    <w:rsid w:val="000F148A"/>
    <w:rsid w:val="000F1593"/>
    <w:rsid w:val="000F15FC"/>
    <w:rsid w:val="000F16E4"/>
    <w:rsid w:val="000F1ABA"/>
    <w:rsid w:val="000F1FD8"/>
    <w:rsid w:val="000F206B"/>
    <w:rsid w:val="000F2459"/>
    <w:rsid w:val="000F271B"/>
    <w:rsid w:val="000F2793"/>
    <w:rsid w:val="000F2E2B"/>
    <w:rsid w:val="000F3398"/>
    <w:rsid w:val="000F383F"/>
    <w:rsid w:val="000F3F36"/>
    <w:rsid w:val="000F3FA2"/>
    <w:rsid w:val="000F44AB"/>
    <w:rsid w:val="000F4533"/>
    <w:rsid w:val="000F4B54"/>
    <w:rsid w:val="000F4B6E"/>
    <w:rsid w:val="000F4C13"/>
    <w:rsid w:val="000F4C2E"/>
    <w:rsid w:val="000F5584"/>
    <w:rsid w:val="000F5783"/>
    <w:rsid w:val="000F5C0E"/>
    <w:rsid w:val="000F6061"/>
    <w:rsid w:val="000F61A2"/>
    <w:rsid w:val="000F64CB"/>
    <w:rsid w:val="000F7008"/>
    <w:rsid w:val="000F733D"/>
    <w:rsid w:val="000F7612"/>
    <w:rsid w:val="000F7677"/>
    <w:rsid w:val="000F7D48"/>
    <w:rsid w:val="000F7D79"/>
    <w:rsid w:val="00100250"/>
    <w:rsid w:val="00101009"/>
    <w:rsid w:val="001014D6"/>
    <w:rsid w:val="00101510"/>
    <w:rsid w:val="00101723"/>
    <w:rsid w:val="00101DB9"/>
    <w:rsid w:val="0010238C"/>
    <w:rsid w:val="00102687"/>
    <w:rsid w:val="00102751"/>
    <w:rsid w:val="0010288D"/>
    <w:rsid w:val="001031E8"/>
    <w:rsid w:val="0010330F"/>
    <w:rsid w:val="001042C2"/>
    <w:rsid w:val="0010497D"/>
    <w:rsid w:val="0010515A"/>
    <w:rsid w:val="00105E64"/>
    <w:rsid w:val="0010608C"/>
    <w:rsid w:val="00106260"/>
    <w:rsid w:val="00106416"/>
    <w:rsid w:val="0010652A"/>
    <w:rsid w:val="00106700"/>
    <w:rsid w:val="00106AD5"/>
    <w:rsid w:val="00106C44"/>
    <w:rsid w:val="00106D7E"/>
    <w:rsid w:val="00110481"/>
    <w:rsid w:val="0011058F"/>
    <w:rsid w:val="001108E3"/>
    <w:rsid w:val="00110A1A"/>
    <w:rsid w:val="00110C4A"/>
    <w:rsid w:val="0011197C"/>
    <w:rsid w:val="00111AA5"/>
    <w:rsid w:val="00111BCB"/>
    <w:rsid w:val="00112258"/>
    <w:rsid w:val="001127C9"/>
    <w:rsid w:val="00112DA0"/>
    <w:rsid w:val="001134D7"/>
    <w:rsid w:val="001141AC"/>
    <w:rsid w:val="001141F4"/>
    <w:rsid w:val="00114498"/>
    <w:rsid w:val="0011451D"/>
    <w:rsid w:val="00114596"/>
    <w:rsid w:val="001149E8"/>
    <w:rsid w:val="001153A4"/>
    <w:rsid w:val="00115B88"/>
    <w:rsid w:val="00115D6B"/>
    <w:rsid w:val="00116642"/>
    <w:rsid w:val="00116903"/>
    <w:rsid w:val="0011696C"/>
    <w:rsid w:val="00116EF4"/>
    <w:rsid w:val="00117492"/>
    <w:rsid w:val="001174D4"/>
    <w:rsid w:val="00117A70"/>
    <w:rsid w:val="00117B21"/>
    <w:rsid w:val="00120653"/>
    <w:rsid w:val="00120CED"/>
    <w:rsid w:val="00121902"/>
    <w:rsid w:val="00121D01"/>
    <w:rsid w:val="00122279"/>
    <w:rsid w:val="00122B02"/>
    <w:rsid w:val="00122DDC"/>
    <w:rsid w:val="00123012"/>
    <w:rsid w:val="00123A64"/>
    <w:rsid w:val="001241C6"/>
    <w:rsid w:val="00124CBD"/>
    <w:rsid w:val="00124E20"/>
    <w:rsid w:val="00124F1F"/>
    <w:rsid w:val="00125071"/>
    <w:rsid w:val="0012569D"/>
    <w:rsid w:val="00125B03"/>
    <w:rsid w:val="00125B90"/>
    <w:rsid w:val="00125E09"/>
    <w:rsid w:val="001263F4"/>
    <w:rsid w:val="00126E07"/>
    <w:rsid w:val="00127672"/>
    <w:rsid w:val="00127973"/>
    <w:rsid w:val="00130723"/>
    <w:rsid w:val="001308F8"/>
    <w:rsid w:val="00130F50"/>
    <w:rsid w:val="00131A7E"/>
    <w:rsid w:val="00131EB9"/>
    <w:rsid w:val="001323E4"/>
    <w:rsid w:val="001326DB"/>
    <w:rsid w:val="00132C72"/>
    <w:rsid w:val="00132F6A"/>
    <w:rsid w:val="001330E5"/>
    <w:rsid w:val="001335FD"/>
    <w:rsid w:val="001338E7"/>
    <w:rsid w:val="00133913"/>
    <w:rsid w:val="001341ED"/>
    <w:rsid w:val="001344B9"/>
    <w:rsid w:val="0013471E"/>
    <w:rsid w:val="00134947"/>
    <w:rsid w:val="00134968"/>
    <w:rsid w:val="0013497D"/>
    <w:rsid w:val="00135366"/>
    <w:rsid w:val="001356DE"/>
    <w:rsid w:val="001365D9"/>
    <w:rsid w:val="00136723"/>
    <w:rsid w:val="00136A0C"/>
    <w:rsid w:val="00136F21"/>
    <w:rsid w:val="00137234"/>
    <w:rsid w:val="00137512"/>
    <w:rsid w:val="0013754D"/>
    <w:rsid w:val="00137E56"/>
    <w:rsid w:val="00140221"/>
    <w:rsid w:val="001407FD"/>
    <w:rsid w:val="00140F42"/>
    <w:rsid w:val="0014109E"/>
    <w:rsid w:val="001414EB"/>
    <w:rsid w:val="00141FE7"/>
    <w:rsid w:val="00142332"/>
    <w:rsid w:val="00142394"/>
    <w:rsid w:val="001427E1"/>
    <w:rsid w:val="00142B26"/>
    <w:rsid w:val="00142CDD"/>
    <w:rsid w:val="0014319E"/>
    <w:rsid w:val="00143666"/>
    <w:rsid w:val="00143C97"/>
    <w:rsid w:val="00143D0C"/>
    <w:rsid w:val="00144035"/>
    <w:rsid w:val="00144741"/>
    <w:rsid w:val="00144D92"/>
    <w:rsid w:val="001455A5"/>
    <w:rsid w:val="00145BEA"/>
    <w:rsid w:val="00145E49"/>
    <w:rsid w:val="0014686C"/>
    <w:rsid w:val="001507B5"/>
    <w:rsid w:val="00150C41"/>
    <w:rsid w:val="00150F29"/>
    <w:rsid w:val="001512BB"/>
    <w:rsid w:val="00151C18"/>
    <w:rsid w:val="00151D6F"/>
    <w:rsid w:val="00152280"/>
    <w:rsid w:val="00152C39"/>
    <w:rsid w:val="00153941"/>
    <w:rsid w:val="0015399A"/>
    <w:rsid w:val="00154163"/>
    <w:rsid w:val="00154995"/>
    <w:rsid w:val="00155434"/>
    <w:rsid w:val="00155468"/>
    <w:rsid w:val="00155622"/>
    <w:rsid w:val="00155EAB"/>
    <w:rsid w:val="0015669C"/>
    <w:rsid w:val="00156CF1"/>
    <w:rsid w:val="00157B6C"/>
    <w:rsid w:val="00157C1E"/>
    <w:rsid w:val="00157CF6"/>
    <w:rsid w:val="00157D07"/>
    <w:rsid w:val="00157F8B"/>
    <w:rsid w:val="001601CA"/>
    <w:rsid w:val="00160F46"/>
    <w:rsid w:val="0016149B"/>
    <w:rsid w:val="0016169C"/>
    <w:rsid w:val="001616C8"/>
    <w:rsid w:val="0016274C"/>
    <w:rsid w:val="00162891"/>
    <w:rsid w:val="00162CBE"/>
    <w:rsid w:val="00162FC3"/>
    <w:rsid w:val="001642FC"/>
    <w:rsid w:val="001647AE"/>
    <w:rsid w:val="0016496B"/>
    <w:rsid w:val="001651AD"/>
    <w:rsid w:val="00166365"/>
    <w:rsid w:val="00166670"/>
    <w:rsid w:val="001667C8"/>
    <w:rsid w:val="00166AF2"/>
    <w:rsid w:val="00167A1D"/>
    <w:rsid w:val="00167A66"/>
    <w:rsid w:val="00170F4E"/>
    <w:rsid w:val="0017124E"/>
    <w:rsid w:val="00171801"/>
    <w:rsid w:val="00171D28"/>
    <w:rsid w:val="00171DBE"/>
    <w:rsid w:val="0017211C"/>
    <w:rsid w:val="0017258E"/>
    <w:rsid w:val="001725D6"/>
    <w:rsid w:val="001730FC"/>
    <w:rsid w:val="00173437"/>
    <w:rsid w:val="00173583"/>
    <w:rsid w:val="00173642"/>
    <w:rsid w:val="001741FB"/>
    <w:rsid w:val="001743E2"/>
    <w:rsid w:val="001745F8"/>
    <w:rsid w:val="001747B2"/>
    <w:rsid w:val="00174DA1"/>
    <w:rsid w:val="00175303"/>
    <w:rsid w:val="00175E46"/>
    <w:rsid w:val="00176A04"/>
    <w:rsid w:val="0018006B"/>
    <w:rsid w:val="0018040E"/>
    <w:rsid w:val="001808D0"/>
    <w:rsid w:val="00180ADC"/>
    <w:rsid w:val="00181BC6"/>
    <w:rsid w:val="00181BCA"/>
    <w:rsid w:val="001821AD"/>
    <w:rsid w:val="001822A0"/>
    <w:rsid w:val="00182378"/>
    <w:rsid w:val="001828C4"/>
    <w:rsid w:val="001838CF"/>
    <w:rsid w:val="00184801"/>
    <w:rsid w:val="00184D59"/>
    <w:rsid w:val="00184F6C"/>
    <w:rsid w:val="00185288"/>
    <w:rsid w:val="00185661"/>
    <w:rsid w:val="001856B4"/>
    <w:rsid w:val="00185E5D"/>
    <w:rsid w:val="00185F71"/>
    <w:rsid w:val="00186391"/>
    <w:rsid w:val="001868EE"/>
    <w:rsid w:val="0018771A"/>
    <w:rsid w:val="001877CF"/>
    <w:rsid w:val="00187853"/>
    <w:rsid w:val="00187BC6"/>
    <w:rsid w:val="00190126"/>
    <w:rsid w:val="00190161"/>
    <w:rsid w:val="00190A7D"/>
    <w:rsid w:val="0019125A"/>
    <w:rsid w:val="00191298"/>
    <w:rsid w:val="00191937"/>
    <w:rsid w:val="00192CC1"/>
    <w:rsid w:val="0019319E"/>
    <w:rsid w:val="001932E8"/>
    <w:rsid w:val="00194016"/>
    <w:rsid w:val="00194188"/>
    <w:rsid w:val="001945A9"/>
    <w:rsid w:val="00194772"/>
    <w:rsid w:val="00194BCE"/>
    <w:rsid w:val="00194CA5"/>
    <w:rsid w:val="0019521E"/>
    <w:rsid w:val="00195787"/>
    <w:rsid w:val="00195D67"/>
    <w:rsid w:val="001961C0"/>
    <w:rsid w:val="00196849"/>
    <w:rsid w:val="00196D94"/>
    <w:rsid w:val="001972F0"/>
    <w:rsid w:val="001975E1"/>
    <w:rsid w:val="001979C0"/>
    <w:rsid w:val="00197A7F"/>
    <w:rsid w:val="001A0653"/>
    <w:rsid w:val="001A0CFE"/>
    <w:rsid w:val="001A0EEB"/>
    <w:rsid w:val="001A1E36"/>
    <w:rsid w:val="001A1F6B"/>
    <w:rsid w:val="001A22D8"/>
    <w:rsid w:val="001A2806"/>
    <w:rsid w:val="001A2A12"/>
    <w:rsid w:val="001A2E38"/>
    <w:rsid w:val="001A3918"/>
    <w:rsid w:val="001A3BA4"/>
    <w:rsid w:val="001A3D58"/>
    <w:rsid w:val="001A3FA1"/>
    <w:rsid w:val="001A4762"/>
    <w:rsid w:val="001A47DB"/>
    <w:rsid w:val="001A4A7F"/>
    <w:rsid w:val="001A4B8C"/>
    <w:rsid w:val="001A4D3D"/>
    <w:rsid w:val="001A5195"/>
    <w:rsid w:val="001A5264"/>
    <w:rsid w:val="001A535D"/>
    <w:rsid w:val="001A54B5"/>
    <w:rsid w:val="001A554D"/>
    <w:rsid w:val="001A5BBB"/>
    <w:rsid w:val="001A5DC7"/>
    <w:rsid w:val="001A652E"/>
    <w:rsid w:val="001A6D1F"/>
    <w:rsid w:val="001A6FE5"/>
    <w:rsid w:val="001A726C"/>
    <w:rsid w:val="001A75FE"/>
    <w:rsid w:val="001A7C61"/>
    <w:rsid w:val="001B05AC"/>
    <w:rsid w:val="001B06D3"/>
    <w:rsid w:val="001B11D9"/>
    <w:rsid w:val="001B14A6"/>
    <w:rsid w:val="001B14BE"/>
    <w:rsid w:val="001B170F"/>
    <w:rsid w:val="001B1EA8"/>
    <w:rsid w:val="001B3D87"/>
    <w:rsid w:val="001B3E22"/>
    <w:rsid w:val="001B3E99"/>
    <w:rsid w:val="001B4188"/>
    <w:rsid w:val="001B48C9"/>
    <w:rsid w:val="001B49E2"/>
    <w:rsid w:val="001B62DC"/>
    <w:rsid w:val="001B64D6"/>
    <w:rsid w:val="001B682B"/>
    <w:rsid w:val="001B6CE6"/>
    <w:rsid w:val="001B70AF"/>
    <w:rsid w:val="001B75DA"/>
    <w:rsid w:val="001C0131"/>
    <w:rsid w:val="001C01CD"/>
    <w:rsid w:val="001C08E5"/>
    <w:rsid w:val="001C15F5"/>
    <w:rsid w:val="001C234D"/>
    <w:rsid w:val="001C25F3"/>
    <w:rsid w:val="001C28DF"/>
    <w:rsid w:val="001C35DF"/>
    <w:rsid w:val="001C362C"/>
    <w:rsid w:val="001C3A42"/>
    <w:rsid w:val="001C3DE9"/>
    <w:rsid w:val="001C3F5B"/>
    <w:rsid w:val="001C40CE"/>
    <w:rsid w:val="001C43C0"/>
    <w:rsid w:val="001C4ABD"/>
    <w:rsid w:val="001C4B7C"/>
    <w:rsid w:val="001C5575"/>
    <w:rsid w:val="001C563D"/>
    <w:rsid w:val="001C5816"/>
    <w:rsid w:val="001C58B0"/>
    <w:rsid w:val="001C59B8"/>
    <w:rsid w:val="001C6390"/>
    <w:rsid w:val="001C6DA8"/>
    <w:rsid w:val="001C6E84"/>
    <w:rsid w:val="001C6ED1"/>
    <w:rsid w:val="001C7E9F"/>
    <w:rsid w:val="001D0769"/>
    <w:rsid w:val="001D0F2A"/>
    <w:rsid w:val="001D0F84"/>
    <w:rsid w:val="001D10DE"/>
    <w:rsid w:val="001D1473"/>
    <w:rsid w:val="001D1679"/>
    <w:rsid w:val="001D177F"/>
    <w:rsid w:val="001D17B0"/>
    <w:rsid w:val="001D17D5"/>
    <w:rsid w:val="001D1851"/>
    <w:rsid w:val="001D2A1C"/>
    <w:rsid w:val="001D2D0D"/>
    <w:rsid w:val="001D32FD"/>
    <w:rsid w:val="001D3932"/>
    <w:rsid w:val="001D4A2A"/>
    <w:rsid w:val="001D5F31"/>
    <w:rsid w:val="001D63B2"/>
    <w:rsid w:val="001D695F"/>
    <w:rsid w:val="001D69C0"/>
    <w:rsid w:val="001D69F9"/>
    <w:rsid w:val="001D6AD9"/>
    <w:rsid w:val="001D6D26"/>
    <w:rsid w:val="001D7164"/>
    <w:rsid w:val="001D74F0"/>
    <w:rsid w:val="001D7A7B"/>
    <w:rsid w:val="001E0184"/>
    <w:rsid w:val="001E0593"/>
    <w:rsid w:val="001E0922"/>
    <w:rsid w:val="001E098B"/>
    <w:rsid w:val="001E09A3"/>
    <w:rsid w:val="001E09BF"/>
    <w:rsid w:val="001E0BA7"/>
    <w:rsid w:val="001E0CAA"/>
    <w:rsid w:val="001E0FF9"/>
    <w:rsid w:val="001E18E7"/>
    <w:rsid w:val="001E19C8"/>
    <w:rsid w:val="001E30F6"/>
    <w:rsid w:val="001E34AE"/>
    <w:rsid w:val="001E378B"/>
    <w:rsid w:val="001E37D5"/>
    <w:rsid w:val="001E3D69"/>
    <w:rsid w:val="001E3ECA"/>
    <w:rsid w:val="001E3FB7"/>
    <w:rsid w:val="001E41FF"/>
    <w:rsid w:val="001E5167"/>
    <w:rsid w:val="001E537A"/>
    <w:rsid w:val="001E5615"/>
    <w:rsid w:val="001E5BAE"/>
    <w:rsid w:val="001E6844"/>
    <w:rsid w:val="001E6B76"/>
    <w:rsid w:val="001F01F4"/>
    <w:rsid w:val="001F0BCA"/>
    <w:rsid w:val="001F1634"/>
    <w:rsid w:val="001F1975"/>
    <w:rsid w:val="001F1A34"/>
    <w:rsid w:val="001F1AEB"/>
    <w:rsid w:val="001F357C"/>
    <w:rsid w:val="001F3C2E"/>
    <w:rsid w:val="001F3D15"/>
    <w:rsid w:val="001F3D50"/>
    <w:rsid w:val="001F3E92"/>
    <w:rsid w:val="001F4095"/>
    <w:rsid w:val="001F493E"/>
    <w:rsid w:val="001F4BDC"/>
    <w:rsid w:val="001F5747"/>
    <w:rsid w:val="001F5873"/>
    <w:rsid w:val="001F5986"/>
    <w:rsid w:val="001F5A82"/>
    <w:rsid w:val="001F5DC2"/>
    <w:rsid w:val="001F64DC"/>
    <w:rsid w:val="001F6EDE"/>
    <w:rsid w:val="001F73C5"/>
    <w:rsid w:val="00200086"/>
    <w:rsid w:val="00200123"/>
    <w:rsid w:val="002002CC"/>
    <w:rsid w:val="0020033A"/>
    <w:rsid w:val="002004FE"/>
    <w:rsid w:val="00200E38"/>
    <w:rsid w:val="00200FA4"/>
    <w:rsid w:val="00201668"/>
    <w:rsid w:val="0020197B"/>
    <w:rsid w:val="00201987"/>
    <w:rsid w:val="00201AB2"/>
    <w:rsid w:val="00201B0D"/>
    <w:rsid w:val="00202526"/>
    <w:rsid w:val="00202B67"/>
    <w:rsid w:val="00202BF2"/>
    <w:rsid w:val="00202DC3"/>
    <w:rsid w:val="0020350D"/>
    <w:rsid w:val="002036FB"/>
    <w:rsid w:val="002037D8"/>
    <w:rsid w:val="0020386C"/>
    <w:rsid w:val="00203F71"/>
    <w:rsid w:val="002045AC"/>
    <w:rsid w:val="00204681"/>
    <w:rsid w:val="0020555C"/>
    <w:rsid w:val="0020561A"/>
    <w:rsid w:val="00205968"/>
    <w:rsid w:val="00205E6A"/>
    <w:rsid w:val="00206266"/>
    <w:rsid w:val="00206706"/>
    <w:rsid w:val="00206915"/>
    <w:rsid w:val="00207527"/>
    <w:rsid w:val="0021069F"/>
    <w:rsid w:val="00211128"/>
    <w:rsid w:val="00211349"/>
    <w:rsid w:val="0021157C"/>
    <w:rsid w:val="00211724"/>
    <w:rsid w:val="0021187F"/>
    <w:rsid w:val="00211FF5"/>
    <w:rsid w:val="0021224B"/>
    <w:rsid w:val="0021262F"/>
    <w:rsid w:val="00212942"/>
    <w:rsid w:val="00212D51"/>
    <w:rsid w:val="00213FD4"/>
    <w:rsid w:val="002146BB"/>
    <w:rsid w:val="002148A5"/>
    <w:rsid w:val="00214B61"/>
    <w:rsid w:val="00214B8C"/>
    <w:rsid w:val="00214DB4"/>
    <w:rsid w:val="00214E87"/>
    <w:rsid w:val="00215071"/>
    <w:rsid w:val="00215630"/>
    <w:rsid w:val="00215AB3"/>
    <w:rsid w:val="00215DC4"/>
    <w:rsid w:val="00216F98"/>
    <w:rsid w:val="002173CB"/>
    <w:rsid w:val="002176B0"/>
    <w:rsid w:val="00217D93"/>
    <w:rsid w:val="00217EE5"/>
    <w:rsid w:val="0022013F"/>
    <w:rsid w:val="002203F5"/>
    <w:rsid w:val="0022045F"/>
    <w:rsid w:val="0022062F"/>
    <w:rsid w:val="00220BF3"/>
    <w:rsid w:val="00220CE5"/>
    <w:rsid w:val="00221174"/>
    <w:rsid w:val="00221AB7"/>
    <w:rsid w:val="002220B5"/>
    <w:rsid w:val="002225A6"/>
    <w:rsid w:val="002229CB"/>
    <w:rsid w:val="00222B8B"/>
    <w:rsid w:val="00222F30"/>
    <w:rsid w:val="00222F8E"/>
    <w:rsid w:val="00223C60"/>
    <w:rsid w:val="00223CB5"/>
    <w:rsid w:val="00223E05"/>
    <w:rsid w:val="00224002"/>
    <w:rsid w:val="002241EC"/>
    <w:rsid w:val="00224326"/>
    <w:rsid w:val="0022439D"/>
    <w:rsid w:val="00224476"/>
    <w:rsid w:val="0022473B"/>
    <w:rsid w:val="00224819"/>
    <w:rsid w:val="002249D3"/>
    <w:rsid w:val="00225058"/>
    <w:rsid w:val="00225735"/>
    <w:rsid w:val="00225754"/>
    <w:rsid w:val="00225C5B"/>
    <w:rsid w:val="00225D8D"/>
    <w:rsid w:val="002270F1"/>
    <w:rsid w:val="00227270"/>
    <w:rsid w:val="00227BDA"/>
    <w:rsid w:val="00227EBD"/>
    <w:rsid w:val="00227ED6"/>
    <w:rsid w:val="0023001E"/>
    <w:rsid w:val="00230197"/>
    <w:rsid w:val="002318EC"/>
    <w:rsid w:val="00231ABD"/>
    <w:rsid w:val="00231FC5"/>
    <w:rsid w:val="002320B7"/>
    <w:rsid w:val="0023363A"/>
    <w:rsid w:val="0023467C"/>
    <w:rsid w:val="0023516B"/>
    <w:rsid w:val="0023520A"/>
    <w:rsid w:val="00235322"/>
    <w:rsid w:val="002359F0"/>
    <w:rsid w:val="00235B29"/>
    <w:rsid w:val="00235C83"/>
    <w:rsid w:val="00235DCA"/>
    <w:rsid w:val="00235F5C"/>
    <w:rsid w:val="002361DB"/>
    <w:rsid w:val="00236BA7"/>
    <w:rsid w:val="002376E3"/>
    <w:rsid w:val="002379D9"/>
    <w:rsid w:val="00237B30"/>
    <w:rsid w:val="0024001A"/>
    <w:rsid w:val="002402CA"/>
    <w:rsid w:val="00240513"/>
    <w:rsid w:val="002406C1"/>
    <w:rsid w:val="00240B7C"/>
    <w:rsid w:val="00240C8B"/>
    <w:rsid w:val="0024113B"/>
    <w:rsid w:val="00241953"/>
    <w:rsid w:val="00242672"/>
    <w:rsid w:val="00242702"/>
    <w:rsid w:val="00242A4F"/>
    <w:rsid w:val="00243982"/>
    <w:rsid w:val="00243BD4"/>
    <w:rsid w:val="00244331"/>
    <w:rsid w:val="00244647"/>
    <w:rsid w:val="00244726"/>
    <w:rsid w:val="002447FA"/>
    <w:rsid w:val="002447FF"/>
    <w:rsid w:val="00244D5A"/>
    <w:rsid w:val="0024619D"/>
    <w:rsid w:val="00246207"/>
    <w:rsid w:val="00246B22"/>
    <w:rsid w:val="00246C46"/>
    <w:rsid w:val="00246EEC"/>
    <w:rsid w:val="00247046"/>
    <w:rsid w:val="002475CC"/>
    <w:rsid w:val="00247FB9"/>
    <w:rsid w:val="00247FC8"/>
    <w:rsid w:val="00250649"/>
    <w:rsid w:val="00250E2B"/>
    <w:rsid w:val="00251974"/>
    <w:rsid w:val="00251B63"/>
    <w:rsid w:val="00251BCD"/>
    <w:rsid w:val="00252675"/>
    <w:rsid w:val="00252A3F"/>
    <w:rsid w:val="00252B5A"/>
    <w:rsid w:val="00252BB1"/>
    <w:rsid w:val="00253121"/>
    <w:rsid w:val="00253247"/>
    <w:rsid w:val="002538E7"/>
    <w:rsid w:val="002539FB"/>
    <w:rsid w:val="00253AB5"/>
    <w:rsid w:val="0025487C"/>
    <w:rsid w:val="00254CD9"/>
    <w:rsid w:val="00254EF3"/>
    <w:rsid w:val="00255C67"/>
    <w:rsid w:val="00255EBE"/>
    <w:rsid w:val="0025639D"/>
    <w:rsid w:val="00256943"/>
    <w:rsid w:val="00256CC5"/>
    <w:rsid w:val="00256DE8"/>
    <w:rsid w:val="00257614"/>
    <w:rsid w:val="002576EB"/>
    <w:rsid w:val="00257907"/>
    <w:rsid w:val="00257FA3"/>
    <w:rsid w:val="0026081B"/>
    <w:rsid w:val="00260FAC"/>
    <w:rsid w:val="00261076"/>
    <w:rsid w:val="00261170"/>
    <w:rsid w:val="0026134D"/>
    <w:rsid w:val="0026151D"/>
    <w:rsid w:val="00261660"/>
    <w:rsid w:val="00261889"/>
    <w:rsid w:val="00262227"/>
    <w:rsid w:val="0026268F"/>
    <w:rsid w:val="002626F1"/>
    <w:rsid w:val="00262FB4"/>
    <w:rsid w:val="00263DC3"/>
    <w:rsid w:val="0026478F"/>
    <w:rsid w:val="002647CF"/>
    <w:rsid w:val="00264991"/>
    <w:rsid w:val="0026503E"/>
    <w:rsid w:val="00265318"/>
    <w:rsid w:val="002653A3"/>
    <w:rsid w:val="00265918"/>
    <w:rsid w:val="00265D8E"/>
    <w:rsid w:val="00265E64"/>
    <w:rsid w:val="00265F24"/>
    <w:rsid w:val="00265F33"/>
    <w:rsid w:val="0026712A"/>
    <w:rsid w:val="002671F7"/>
    <w:rsid w:val="0026724D"/>
    <w:rsid w:val="00267B6D"/>
    <w:rsid w:val="00270628"/>
    <w:rsid w:val="002711E2"/>
    <w:rsid w:val="0027189E"/>
    <w:rsid w:val="00271A51"/>
    <w:rsid w:val="00271CFC"/>
    <w:rsid w:val="00272408"/>
    <w:rsid w:val="002728A4"/>
    <w:rsid w:val="00272F71"/>
    <w:rsid w:val="0027318E"/>
    <w:rsid w:val="002735F3"/>
    <w:rsid w:val="00274938"/>
    <w:rsid w:val="00274C0C"/>
    <w:rsid w:val="00275126"/>
    <w:rsid w:val="00275293"/>
    <w:rsid w:val="002754C5"/>
    <w:rsid w:val="0027644B"/>
    <w:rsid w:val="0027661B"/>
    <w:rsid w:val="0027661F"/>
    <w:rsid w:val="00276652"/>
    <w:rsid w:val="00276E49"/>
    <w:rsid w:val="00276F08"/>
    <w:rsid w:val="00277B56"/>
    <w:rsid w:val="00277BD5"/>
    <w:rsid w:val="00280949"/>
    <w:rsid w:val="00280AF1"/>
    <w:rsid w:val="00280C0C"/>
    <w:rsid w:val="00280E1A"/>
    <w:rsid w:val="00280EC4"/>
    <w:rsid w:val="0028140B"/>
    <w:rsid w:val="0028147E"/>
    <w:rsid w:val="00281638"/>
    <w:rsid w:val="00281AFC"/>
    <w:rsid w:val="0028286A"/>
    <w:rsid w:val="00282A74"/>
    <w:rsid w:val="00282AA4"/>
    <w:rsid w:val="00282BD3"/>
    <w:rsid w:val="00282DD6"/>
    <w:rsid w:val="002830EF"/>
    <w:rsid w:val="00283128"/>
    <w:rsid w:val="00283572"/>
    <w:rsid w:val="00283A5C"/>
    <w:rsid w:val="00284029"/>
    <w:rsid w:val="00284471"/>
    <w:rsid w:val="002847BE"/>
    <w:rsid w:val="00284AB9"/>
    <w:rsid w:val="00285CC0"/>
    <w:rsid w:val="002864F4"/>
    <w:rsid w:val="00286C7C"/>
    <w:rsid w:val="0028733E"/>
    <w:rsid w:val="00287A97"/>
    <w:rsid w:val="00287C1C"/>
    <w:rsid w:val="00287CC9"/>
    <w:rsid w:val="00290583"/>
    <w:rsid w:val="00290CD7"/>
    <w:rsid w:val="00290DFC"/>
    <w:rsid w:val="00290E20"/>
    <w:rsid w:val="00292CC4"/>
    <w:rsid w:val="00292DBE"/>
    <w:rsid w:val="00292F6E"/>
    <w:rsid w:val="0029300D"/>
    <w:rsid w:val="00293BA5"/>
    <w:rsid w:val="00294199"/>
    <w:rsid w:val="00294200"/>
    <w:rsid w:val="002942BF"/>
    <w:rsid w:val="00294A86"/>
    <w:rsid w:val="002950CC"/>
    <w:rsid w:val="002957B9"/>
    <w:rsid w:val="0029583F"/>
    <w:rsid w:val="00295BE9"/>
    <w:rsid w:val="002961C0"/>
    <w:rsid w:val="002961FD"/>
    <w:rsid w:val="002967F0"/>
    <w:rsid w:val="00296D94"/>
    <w:rsid w:val="00296E27"/>
    <w:rsid w:val="002970E1"/>
    <w:rsid w:val="00297476"/>
    <w:rsid w:val="00297801"/>
    <w:rsid w:val="002A0793"/>
    <w:rsid w:val="002A0A69"/>
    <w:rsid w:val="002A1980"/>
    <w:rsid w:val="002A19F5"/>
    <w:rsid w:val="002A28E5"/>
    <w:rsid w:val="002A3220"/>
    <w:rsid w:val="002A3A97"/>
    <w:rsid w:val="002A3C54"/>
    <w:rsid w:val="002A3D93"/>
    <w:rsid w:val="002A4883"/>
    <w:rsid w:val="002A5B1A"/>
    <w:rsid w:val="002A630E"/>
    <w:rsid w:val="002A64BD"/>
    <w:rsid w:val="002A68D6"/>
    <w:rsid w:val="002A6A5A"/>
    <w:rsid w:val="002A739B"/>
    <w:rsid w:val="002A76A3"/>
    <w:rsid w:val="002A7C83"/>
    <w:rsid w:val="002B0274"/>
    <w:rsid w:val="002B129B"/>
    <w:rsid w:val="002B130F"/>
    <w:rsid w:val="002B1953"/>
    <w:rsid w:val="002B1C79"/>
    <w:rsid w:val="002B23B6"/>
    <w:rsid w:val="002B2599"/>
    <w:rsid w:val="002B2617"/>
    <w:rsid w:val="002B2972"/>
    <w:rsid w:val="002B29D0"/>
    <w:rsid w:val="002B2BC4"/>
    <w:rsid w:val="002B3EA0"/>
    <w:rsid w:val="002B3FBB"/>
    <w:rsid w:val="002B4922"/>
    <w:rsid w:val="002B5B3D"/>
    <w:rsid w:val="002B5BA9"/>
    <w:rsid w:val="002B6113"/>
    <w:rsid w:val="002B6572"/>
    <w:rsid w:val="002B66F6"/>
    <w:rsid w:val="002B69F3"/>
    <w:rsid w:val="002B6B24"/>
    <w:rsid w:val="002B6D4F"/>
    <w:rsid w:val="002B72C7"/>
    <w:rsid w:val="002B77FC"/>
    <w:rsid w:val="002B7C0A"/>
    <w:rsid w:val="002B7F84"/>
    <w:rsid w:val="002B7FEC"/>
    <w:rsid w:val="002C0A2E"/>
    <w:rsid w:val="002C1140"/>
    <w:rsid w:val="002C1409"/>
    <w:rsid w:val="002C183B"/>
    <w:rsid w:val="002C1C26"/>
    <w:rsid w:val="002C1D2F"/>
    <w:rsid w:val="002C22B0"/>
    <w:rsid w:val="002C22C3"/>
    <w:rsid w:val="002C27FE"/>
    <w:rsid w:val="002C2D19"/>
    <w:rsid w:val="002C322D"/>
    <w:rsid w:val="002C3402"/>
    <w:rsid w:val="002C36E2"/>
    <w:rsid w:val="002C3D62"/>
    <w:rsid w:val="002C3DE0"/>
    <w:rsid w:val="002C45E9"/>
    <w:rsid w:val="002C4D5E"/>
    <w:rsid w:val="002C4ED7"/>
    <w:rsid w:val="002C4F5D"/>
    <w:rsid w:val="002C5013"/>
    <w:rsid w:val="002C52CE"/>
    <w:rsid w:val="002C5539"/>
    <w:rsid w:val="002C5A84"/>
    <w:rsid w:val="002C5B44"/>
    <w:rsid w:val="002C5C62"/>
    <w:rsid w:val="002C6430"/>
    <w:rsid w:val="002C648A"/>
    <w:rsid w:val="002C67CB"/>
    <w:rsid w:val="002C6B5A"/>
    <w:rsid w:val="002C6D01"/>
    <w:rsid w:val="002C6E6A"/>
    <w:rsid w:val="002C6EB7"/>
    <w:rsid w:val="002D091B"/>
    <w:rsid w:val="002D09E9"/>
    <w:rsid w:val="002D0BE0"/>
    <w:rsid w:val="002D10FA"/>
    <w:rsid w:val="002D147C"/>
    <w:rsid w:val="002D165D"/>
    <w:rsid w:val="002D18D1"/>
    <w:rsid w:val="002D22FB"/>
    <w:rsid w:val="002D28FD"/>
    <w:rsid w:val="002D37FE"/>
    <w:rsid w:val="002D38A9"/>
    <w:rsid w:val="002D3C06"/>
    <w:rsid w:val="002D41F1"/>
    <w:rsid w:val="002D44F1"/>
    <w:rsid w:val="002D45F7"/>
    <w:rsid w:val="002D4876"/>
    <w:rsid w:val="002D4C0B"/>
    <w:rsid w:val="002D4C55"/>
    <w:rsid w:val="002D4E18"/>
    <w:rsid w:val="002D583B"/>
    <w:rsid w:val="002D5960"/>
    <w:rsid w:val="002D66DC"/>
    <w:rsid w:val="002D7005"/>
    <w:rsid w:val="002D70F8"/>
    <w:rsid w:val="002D7119"/>
    <w:rsid w:val="002D7900"/>
    <w:rsid w:val="002E02F0"/>
    <w:rsid w:val="002E0397"/>
    <w:rsid w:val="002E0876"/>
    <w:rsid w:val="002E0B2A"/>
    <w:rsid w:val="002E0B51"/>
    <w:rsid w:val="002E0FF9"/>
    <w:rsid w:val="002E1458"/>
    <w:rsid w:val="002E1545"/>
    <w:rsid w:val="002E1C24"/>
    <w:rsid w:val="002E1DE0"/>
    <w:rsid w:val="002E1F5A"/>
    <w:rsid w:val="002E1F88"/>
    <w:rsid w:val="002E2020"/>
    <w:rsid w:val="002E2501"/>
    <w:rsid w:val="002E2813"/>
    <w:rsid w:val="002E2F33"/>
    <w:rsid w:val="002E2FE1"/>
    <w:rsid w:val="002E35D2"/>
    <w:rsid w:val="002E3A78"/>
    <w:rsid w:val="002E4012"/>
    <w:rsid w:val="002E4299"/>
    <w:rsid w:val="002E45DA"/>
    <w:rsid w:val="002E4E00"/>
    <w:rsid w:val="002E4EF2"/>
    <w:rsid w:val="002E57BB"/>
    <w:rsid w:val="002E5E2C"/>
    <w:rsid w:val="002E5E93"/>
    <w:rsid w:val="002E5ED3"/>
    <w:rsid w:val="002E61F1"/>
    <w:rsid w:val="002E6DED"/>
    <w:rsid w:val="002E7A07"/>
    <w:rsid w:val="002F1B95"/>
    <w:rsid w:val="002F1B9B"/>
    <w:rsid w:val="002F209B"/>
    <w:rsid w:val="002F2750"/>
    <w:rsid w:val="002F2B64"/>
    <w:rsid w:val="002F31D6"/>
    <w:rsid w:val="002F323E"/>
    <w:rsid w:val="002F382F"/>
    <w:rsid w:val="002F38AE"/>
    <w:rsid w:val="002F3DCB"/>
    <w:rsid w:val="002F4BE3"/>
    <w:rsid w:val="002F4C2A"/>
    <w:rsid w:val="002F53EF"/>
    <w:rsid w:val="002F58C8"/>
    <w:rsid w:val="002F5B48"/>
    <w:rsid w:val="002F61C6"/>
    <w:rsid w:val="002F693D"/>
    <w:rsid w:val="002F6DCA"/>
    <w:rsid w:val="002F70EB"/>
    <w:rsid w:val="002F71D4"/>
    <w:rsid w:val="002F7600"/>
    <w:rsid w:val="002F7633"/>
    <w:rsid w:val="002F7C97"/>
    <w:rsid w:val="002F7F33"/>
    <w:rsid w:val="00300392"/>
    <w:rsid w:val="00300956"/>
    <w:rsid w:val="0030176C"/>
    <w:rsid w:val="00302214"/>
    <w:rsid w:val="003023D7"/>
    <w:rsid w:val="00302FEB"/>
    <w:rsid w:val="00303253"/>
    <w:rsid w:val="00303663"/>
    <w:rsid w:val="00303A7A"/>
    <w:rsid w:val="00303EDF"/>
    <w:rsid w:val="003042F4"/>
    <w:rsid w:val="003046DA"/>
    <w:rsid w:val="00304C79"/>
    <w:rsid w:val="00304EBA"/>
    <w:rsid w:val="00304F27"/>
    <w:rsid w:val="0030537C"/>
    <w:rsid w:val="00305457"/>
    <w:rsid w:val="00305668"/>
    <w:rsid w:val="00305B24"/>
    <w:rsid w:val="00306067"/>
    <w:rsid w:val="0030668A"/>
    <w:rsid w:val="003066A4"/>
    <w:rsid w:val="00306780"/>
    <w:rsid w:val="0030678F"/>
    <w:rsid w:val="00306C0B"/>
    <w:rsid w:val="00306D65"/>
    <w:rsid w:val="00307881"/>
    <w:rsid w:val="00307B1B"/>
    <w:rsid w:val="003102AC"/>
    <w:rsid w:val="00310300"/>
    <w:rsid w:val="00311C26"/>
    <w:rsid w:val="00311D66"/>
    <w:rsid w:val="00312D09"/>
    <w:rsid w:val="003136CB"/>
    <w:rsid w:val="003139E9"/>
    <w:rsid w:val="00313F94"/>
    <w:rsid w:val="003141F3"/>
    <w:rsid w:val="00314893"/>
    <w:rsid w:val="00314BF7"/>
    <w:rsid w:val="00315737"/>
    <w:rsid w:val="00316030"/>
    <w:rsid w:val="00316F3D"/>
    <w:rsid w:val="00317187"/>
    <w:rsid w:val="0031734C"/>
    <w:rsid w:val="003173A5"/>
    <w:rsid w:val="0032027F"/>
    <w:rsid w:val="0032070C"/>
    <w:rsid w:val="003207FC"/>
    <w:rsid w:val="00320DDB"/>
    <w:rsid w:val="003221E6"/>
    <w:rsid w:val="00322EBD"/>
    <w:rsid w:val="0032323A"/>
    <w:rsid w:val="00324992"/>
    <w:rsid w:val="0032499A"/>
    <w:rsid w:val="00324DAA"/>
    <w:rsid w:val="00324FC5"/>
    <w:rsid w:val="00325665"/>
    <w:rsid w:val="003259A8"/>
    <w:rsid w:val="00325B2C"/>
    <w:rsid w:val="00325CEA"/>
    <w:rsid w:val="00326374"/>
    <w:rsid w:val="003269B7"/>
    <w:rsid w:val="00326BF9"/>
    <w:rsid w:val="00326F69"/>
    <w:rsid w:val="00326F7A"/>
    <w:rsid w:val="003274A2"/>
    <w:rsid w:val="003275A8"/>
    <w:rsid w:val="00327E3C"/>
    <w:rsid w:val="003302FD"/>
    <w:rsid w:val="0033038F"/>
    <w:rsid w:val="00330961"/>
    <w:rsid w:val="003309E4"/>
    <w:rsid w:val="00330C0C"/>
    <w:rsid w:val="00330D82"/>
    <w:rsid w:val="00330E6B"/>
    <w:rsid w:val="00331125"/>
    <w:rsid w:val="0033113E"/>
    <w:rsid w:val="00331607"/>
    <w:rsid w:val="00332B85"/>
    <w:rsid w:val="00332CD2"/>
    <w:rsid w:val="00333052"/>
    <w:rsid w:val="0033392B"/>
    <w:rsid w:val="00333EDB"/>
    <w:rsid w:val="003341F7"/>
    <w:rsid w:val="0033420C"/>
    <w:rsid w:val="003345FD"/>
    <w:rsid w:val="00334811"/>
    <w:rsid w:val="003351DE"/>
    <w:rsid w:val="00335769"/>
    <w:rsid w:val="00336004"/>
    <w:rsid w:val="00336623"/>
    <w:rsid w:val="00336722"/>
    <w:rsid w:val="00336E70"/>
    <w:rsid w:val="003371F2"/>
    <w:rsid w:val="0033743B"/>
    <w:rsid w:val="00337801"/>
    <w:rsid w:val="0033781C"/>
    <w:rsid w:val="00337C6A"/>
    <w:rsid w:val="00337DAA"/>
    <w:rsid w:val="003406B0"/>
    <w:rsid w:val="00340BAC"/>
    <w:rsid w:val="00341EC6"/>
    <w:rsid w:val="00342459"/>
    <w:rsid w:val="00343227"/>
    <w:rsid w:val="0034345F"/>
    <w:rsid w:val="003439AA"/>
    <w:rsid w:val="0034411B"/>
    <w:rsid w:val="00344482"/>
    <w:rsid w:val="00344618"/>
    <w:rsid w:val="00344654"/>
    <w:rsid w:val="00344AEC"/>
    <w:rsid w:val="00344B96"/>
    <w:rsid w:val="00345472"/>
    <w:rsid w:val="00345856"/>
    <w:rsid w:val="00345AEB"/>
    <w:rsid w:val="00345CC8"/>
    <w:rsid w:val="0034676F"/>
    <w:rsid w:val="003468AE"/>
    <w:rsid w:val="00347081"/>
    <w:rsid w:val="00347311"/>
    <w:rsid w:val="003476E8"/>
    <w:rsid w:val="003479AD"/>
    <w:rsid w:val="00347F1C"/>
    <w:rsid w:val="00347FEC"/>
    <w:rsid w:val="00350006"/>
    <w:rsid w:val="00350328"/>
    <w:rsid w:val="0035057C"/>
    <w:rsid w:val="003509DF"/>
    <w:rsid w:val="00350BE3"/>
    <w:rsid w:val="00350EBD"/>
    <w:rsid w:val="00351347"/>
    <w:rsid w:val="003517AD"/>
    <w:rsid w:val="003517F9"/>
    <w:rsid w:val="003525CF"/>
    <w:rsid w:val="00352735"/>
    <w:rsid w:val="00352D9F"/>
    <w:rsid w:val="00353616"/>
    <w:rsid w:val="00353734"/>
    <w:rsid w:val="00353A94"/>
    <w:rsid w:val="003546A2"/>
    <w:rsid w:val="003548FB"/>
    <w:rsid w:val="00356528"/>
    <w:rsid w:val="003569D8"/>
    <w:rsid w:val="00356A01"/>
    <w:rsid w:val="00356C9D"/>
    <w:rsid w:val="00356F45"/>
    <w:rsid w:val="0035729B"/>
    <w:rsid w:val="00357AA1"/>
    <w:rsid w:val="00357F0E"/>
    <w:rsid w:val="00360421"/>
    <w:rsid w:val="00361CB3"/>
    <w:rsid w:val="0036210A"/>
    <w:rsid w:val="003624F3"/>
    <w:rsid w:val="0036258C"/>
    <w:rsid w:val="00362901"/>
    <w:rsid w:val="003633D6"/>
    <w:rsid w:val="0036395E"/>
    <w:rsid w:val="00363AC8"/>
    <w:rsid w:val="00363E4E"/>
    <w:rsid w:val="00364A57"/>
    <w:rsid w:val="00364AFE"/>
    <w:rsid w:val="00364BAE"/>
    <w:rsid w:val="00365B7C"/>
    <w:rsid w:val="003663F9"/>
    <w:rsid w:val="00366B74"/>
    <w:rsid w:val="00366F7B"/>
    <w:rsid w:val="0036721A"/>
    <w:rsid w:val="00367891"/>
    <w:rsid w:val="00370376"/>
    <w:rsid w:val="00370C6D"/>
    <w:rsid w:val="00371DCC"/>
    <w:rsid w:val="0037222D"/>
    <w:rsid w:val="003727A9"/>
    <w:rsid w:val="003728E8"/>
    <w:rsid w:val="00372AB7"/>
    <w:rsid w:val="00372B8F"/>
    <w:rsid w:val="00372F2F"/>
    <w:rsid w:val="0037373C"/>
    <w:rsid w:val="00373A2F"/>
    <w:rsid w:val="0037456D"/>
    <w:rsid w:val="00374DC6"/>
    <w:rsid w:val="0037511F"/>
    <w:rsid w:val="00375720"/>
    <w:rsid w:val="00375CB5"/>
    <w:rsid w:val="00376268"/>
    <w:rsid w:val="00376C76"/>
    <w:rsid w:val="00376DAE"/>
    <w:rsid w:val="00376F1D"/>
    <w:rsid w:val="00377070"/>
    <w:rsid w:val="0037728E"/>
    <w:rsid w:val="00377324"/>
    <w:rsid w:val="00377658"/>
    <w:rsid w:val="00377906"/>
    <w:rsid w:val="00377AB4"/>
    <w:rsid w:val="00377B7E"/>
    <w:rsid w:val="00377C54"/>
    <w:rsid w:val="00380B0E"/>
    <w:rsid w:val="00380CB9"/>
    <w:rsid w:val="00381119"/>
    <w:rsid w:val="00381820"/>
    <w:rsid w:val="00381A23"/>
    <w:rsid w:val="00381ED2"/>
    <w:rsid w:val="00381F95"/>
    <w:rsid w:val="00383598"/>
    <w:rsid w:val="00383AB9"/>
    <w:rsid w:val="00383FCC"/>
    <w:rsid w:val="003847BC"/>
    <w:rsid w:val="0038492E"/>
    <w:rsid w:val="00384B38"/>
    <w:rsid w:val="00384D0D"/>
    <w:rsid w:val="00385222"/>
    <w:rsid w:val="0038538E"/>
    <w:rsid w:val="00385612"/>
    <w:rsid w:val="00385C83"/>
    <w:rsid w:val="003860BA"/>
    <w:rsid w:val="00386F16"/>
    <w:rsid w:val="00387BE0"/>
    <w:rsid w:val="0039059F"/>
    <w:rsid w:val="003916F3"/>
    <w:rsid w:val="00391ADA"/>
    <w:rsid w:val="00391CC5"/>
    <w:rsid w:val="003925CB"/>
    <w:rsid w:val="0039279D"/>
    <w:rsid w:val="0039297C"/>
    <w:rsid w:val="00392B09"/>
    <w:rsid w:val="0039347A"/>
    <w:rsid w:val="003935C5"/>
    <w:rsid w:val="00393C74"/>
    <w:rsid w:val="00394064"/>
    <w:rsid w:val="00394108"/>
    <w:rsid w:val="00394E2E"/>
    <w:rsid w:val="00395050"/>
    <w:rsid w:val="00395388"/>
    <w:rsid w:val="00395A8D"/>
    <w:rsid w:val="00395DBF"/>
    <w:rsid w:val="00396201"/>
    <w:rsid w:val="003962D6"/>
    <w:rsid w:val="00396413"/>
    <w:rsid w:val="00396C23"/>
    <w:rsid w:val="003A08C3"/>
    <w:rsid w:val="003A0CDF"/>
    <w:rsid w:val="003A1026"/>
    <w:rsid w:val="003A120D"/>
    <w:rsid w:val="003A17C0"/>
    <w:rsid w:val="003A19A7"/>
    <w:rsid w:val="003A1FA2"/>
    <w:rsid w:val="003A2309"/>
    <w:rsid w:val="003A2314"/>
    <w:rsid w:val="003A2341"/>
    <w:rsid w:val="003A26C2"/>
    <w:rsid w:val="003A2D68"/>
    <w:rsid w:val="003A2E82"/>
    <w:rsid w:val="003A3C58"/>
    <w:rsid w:val="003A448D"/>
    <w:rsid w:val="003A45C7"/>
    <w:rsid w:val="003A4A29"/>
    <w:rsid w:val="003A543A"/>
    <w:rsid w:val="003A5572"/>
    <w:rsid w:val="003A576E"/>
    <w:rsid w:val="003A60A3"/>
    <w:rsid w:val="003A6116"/>
    <w:rsid w:val="003A67BA"/>
    <w:rsid w:val="003A6B3B"/>
    <w:rsid w:val="003A710A"/>
    <w:rsid w:val="003A73A9"/>
    <w:rsid w:val="003A7625"/>
    <w:rsid w:val="003A7706"/>
    <w:rsid w:val="003A7735"/>
    <w:rsid w:val="003A7BFC"/>
    <w:rsid w:val="003A7C4F"/>
    <w:rsid w:val="003A7E68"/>
    <w:rsid w:val="003B021E"/>
    <w:rsid w:val="003B0282"/>
    <w:rsid w:val="003B0534"/>
    <w:rsid w:val="003B0707"/>
    <w:rsid w:val="003B0B07"/>
    <w:rsid w:val="003B1464"/>
    <w:rsid w:val="003B1E1A"/>
    <w:rsid w:val="003B2465"/>
    <w:rsid w:val="003B279A"/>
    <w:rsid w:val="003B2A51"/>
    <w:rsid w:val="003B2A91"/>
    <w:rsid w:val="003B2D98"/>
    <w:rsid w:val="003B30AC"/>
    <w:rsid w:val="003B3290"/>
    <w:rsid w:val="003B3463"/>
    <w:rsid w:val="003B38A9"/>
    <w:rsid w:val="003B398E"/>
    <w:rsid w:val="003B3EF2"/>
    <w:rsid w:val="003B4718"/>
    <w:rsid w:val="003B4A4B"/>
    <w:rsid w:val="003B4DD7"/>
    <w:rsid w:val="003B4F99"/>
    <w:rsid w:val="003B523D"/>
    <w:rsid w:val="003B557A"/>
    <w:rsid w:val="003B5627"/>
    <w:rsid w:val="003B5A27"/>
    <w:rsid w:val="003B5A65"/>
    <w:rsid w:val="003B5BF2"/>
    <w:rsid w:val="003B5DB8"/>
    <w:rsid w:val="003B6487"/>
    <w:rsid w:val="003B659E"/>
    <w:rsid w:val="003B6760"/>
    <w:rsid w:val="003B6C6E"/>
    <w:rsid w:val="003B6F92"/>
    <w:rsid w:val="003B73BF"/>
    <w:rsid w:val="003B75FD"/>
    <w:rsid w:val="003B7AD8"/>
    <w:rsid w:val="003C008F"/>
    <w:rsid w:val="003C0556"/>
    <w:rsid w:val="003C0798"/>
    <w:rsid w:val="003C09F8"/>
    <w:rsid w:val="003C11F2"/>
    <w:rsid w:val="003C1C84"/>
    <w:rsid w:val="003C1FFC"/>
    <w:rsid w:val="003C270D"/>
    <w:rsid w:val="003C275E"/>
    <w:rsid w:val="003C35C7"/>
    <w:rsid w:val="003C4242"/>
    <w:rsid w:val="003C4441"/>
    <w:rsid w:val="003C4766"/>
    <w:rsid w:val="003C4883"/>
    <w:rsid w:val="003C4A85"/>
    <w:rsid w:val="003C4B6D"/>
    <w:rsid w:val="003C4D35"/>
    <w:rsid w:val="003C4E3C"/>
    <w:rsid w:val="003C4FDE"/>
    <w:rsid w:val="003C506F"/>
    <w:rsid w:val="003C5474"/>
    <w:rsid w:val="003C550B"/>
    <w:rsid w:val="003C5713"/>
    <w:rsid w:val="003C58F5"/>
    <w:rsid w:val="003C6570"/>
    <w:rsid w:val="003C6C7E"/>
    <w:rsid w:val="003C6FBA"/>
    <w:rsid w:val="003C72BD"/>
    <w:rsid w:val="003C7797"/>
    <w:rsid w:val="003C7E9B"/>
    <w:rsid w:val="003D0D2E"/>
    <w:rsid w:val="003D1276"/>
    <w:rsid w:val="003D18E3"/>
    <w:rsid w:val="003D1B06"/>
    <w:rsid w:val="003D1FD3"/>
    <w:rsid w:val="003D2540"/>
    <w:rsid w:val="003D2CA3"/>
    <w:rsid w:val="003D2D00"/>
    <w:rsid w:val="003D2DC7"/>
    <w:rsid w:val="003D3583"/>
    <w:rsid w:val="003D377B"/>
    <w:rsid w:val="003D3BA8"/>
    <w:rsid w:val="003D3D17"/>
    <w:rsid w:val="003D3D1E"/>
    <w:rsid w:val="003D3D69"/>
    <w:rsid w:val="003D3FB6"/>
    <w:rsid w:val="003D48EB"/>
    <w:rsid w:val="003D4E51"/>
    <w:rsid w:val="003D52E5"/>
    <w:rsid w:val="003D585A"/>
    <w:rsid w:val="003D5936"/>
    <w:rsid w:val="003D5D44"/>
    <w:rsid w:val="003D6AE1"/>
    <w:rsid w:val="003D7491"/>
    <w:rsid w:val="003D7BCC"/>
    <w:rsid w:val="003D7CD2"/>
    <w:rsid w:val="003E0440"/>
    <w:rsid w:val="003E0B6E"/>
    <w:rsid w:val="003E0C62"/>
    <w:rsid w:val="003E2045"/>
    <w:rsid w:val="003E27FC"/>
    <w:rsid w:val="003E2AA4"/>
    <w:rsid w:val="003E2E43"/>
    <w:rsid w:val="003E2FAC"/>
    <w:rsid w:val="003E3169"/>
    <w:rsid w:val="003E34C3"/>
    <w:rsid w:val="003E386F"/>
    <w:rsid w:val="003E391A"/>
    <w:rsid w:val="003E47D2"/>
    <w:rsid w:val="003E482D"/>
    <w:rsid w:val="003E4864"/>
    <w:rsid w:val="003E49B9"/>
    <w:rsid w:val="003E49C7"/>
    <w:rsid w:val="003E4ADB"/>
    <w:rsid w:val="003E55A5"/>
    <w:rsid w:val="003E58DF"/>
    <w:rsid w:val="003E6B4A"/>
    <w:rsid w:val="003E6CD1"/>
    <w:rsid w:val="003E6FB6"/>
    <w:rsid w:val="003E71DC"/>
    <w:rsid w:val="003E76C8"/>
    <w:rsid w:val="003E7DDB"/>
    <w:rsid w:val="003F01EE"/>
    <w:rsid w:val="003F06B6"/>
    <w:rsid w:val="003F0782"/>
    <w:rsid w:val="003F0FE4"/>
    <w:rsid w:val="003F1277"/>
    <w:rsid w:val="003F14AD"/>
    <w:rsid w:val="003F1653"/>
    <w:rsid w:val="003F1699"/>
    <w:rsid w:val="003F2557"/>
    <w:rsid w:val="003F2F9C"/>
    <w:rsid w:val="003F4154"/>
    <w:rsid w:val="003F432B"/>
    <w:rsid w:val="003F46DF"/>
    <w:rsid w:val="003F493A"/>
    <w:rsid w:val="003F49BB"/>
    <w:rsid w:val="003F4F0A"/>
    <w:rsid w:val="003F5595"/>
    <w:rsid w:val="003F5A18"/>
    <w:rsid w:val="003F5E03"/>
    <w:rsid w:val="003F6054"/>
    <w:rsid w:val="003F6252"/>
    <w:rsid w:val="003F6280"/>
    <w:rsid w:val="003F633B"/>
    <w:rsid w:val="004000D5"/>
    <w:rsid w:val="004003DC"/>
    <w:rsid w:val="004005FD"/>
    <w:rsid w:val="004006F9"/>
    <w:rsid w:val="00400791"/>
    <w:rsid w:val="00400D3A"/>
    <w:rsid w:val="00400E6B"/>
    <w:rsid w:val="00400E95"/>
    <w:rsid w:val="00400EEE"/>
    <w:rsid w:val="004014A0"/>
    <w:rsid w:val="00401BF7"/>
    <w:rsid w:val="00401E8D"/>
    <w:rsid w:val="0040270B"/>
    <w:rsid w:val="00402971"/>
    <w:rsid w:val="004029E1"/>
    <w:rsid w:val="00402A1D"/>
    <w:rsid w:val="00402F3A"/>
    <w:rsid w:val="0040304B"/>
    <w:rsid w:val="00403706"/>
    <w:rsid w:val="00403F0C"/>
    <w:rsid w:val="004040BF"/>
    <w:rsid w:val="00404C4C"/>
    <w:rsid w:val="004053E5"/>
    <w:rsid w:val="0040540B"/>
    <w:rsid w:val="00405488"/>
    <w:rsid w:val="00405658"/>
    <w:rsid w:val="0040576E"/>
    <w:rsid w:val="004057B7"/>
    <w:rsid w:val="0040581D"/>
    <w:rsid w:val="00406592"/>
    <w:rsid w:val="0040668C"/>
    <w:rsid w:val="00406E2F"/>
    <w:rsid w:val="00406EF6"/>
    <w:rsid w:val="00406FEE"/>
    <w:rsid w:val="004070AA"/>
    <w:rsid w:val="004070E4"/>
    <w:rsid w:val="0040723E"/>
    <w:rsid w:val="004072D7"/>
    <w:rsid w:val="00407A22"/>
    <w:rsid w:val="00407C7F"/>
    <w:rsid w:val="00411305"/>
    <w:rsid w:val="00411349"/>
    <w:rsid w:val="0041187A"/>
    <w:rsid w:val="004120B1"/>
    <w:rsid w:val="00412320"/>
    <w:rsid w:val="00412B21"/>
    <w:rsid w:val="00412B87"/>
    <w:rsid w:val="00412BCF"/>
    <w:rsid w:val="004130B9"/>
    <w:rsid w:val="00413248"/>
    <w:rsid w:val="004137E2"/>
    <w:rsid w:val="004138C3"/>
    <w:rsid w:val="00413D37"/>
    <w:rsid w:val="0041423F"/>
    <w:rsid w:val="004142F5"/>
    <w:rsid w:val="00414F81"/>
    <w:rsid w:val="004150B2"/>
    <w:rsid w:val="004157E1"/>
    <w:rsid w:val="0041694C"/>
    <w:rsid w:val="004169EC"/>
    <w:rsid w:val="0041739A"/>
    <w:rsid w:val="004175E4"/>
    <w:rsid w:val="00417BCB"/>
    <w:rsid w:val="00420B73"/>
    <w:rsid w:val="00420BC2"/>
    <w:rsid w:val="00421329"/>
    <w:rsid w:val="00422391"/>
    <w:rsid w:val="0042256B"/>
    <w:rsid w:val="00422A84"/>
    <w:rsid w:val="00422CB6"/>
    <w:rsid w:val="00422D04"/>
    <w:rsid w:val="00422D3D"/>
    <w:rsid w:val="0042366D"/>
    <w:rsid w:val="004236B4"/>
    <w:rsid w:val="00423770"/>
    <w:rsid w:val="00423794"/>
    <w:rsid w:val="004237C8"/>
    <w:rsid w:val="004238E0"/>
    <w:rsid w:val="00423CEE"/>
    <w:rsid w:val="0042412E"/>
    <w:rsid w:val="0042477D"/>
    <w:rsid w:val="00424E56"/>
    <w:rsid w:val="00424E5D"/>
    <w:rsid w:val="004250AA"/>
    <w:rsid w:val="00425826"/>
    <w:rsid w:val="00425B33"/>
    <w:rsid w:val="00425D53"/>
    <w:rsid w:val="00425DD2"/>
    <w:rsid w:val="00425F1E"/>
    <w:rsid w:val="00425F6E"/>
    <w:rsid w:val="00426834"/>
    <w:rsid w:val="0042724B"/>
    <w:rsid w:val="0043057F"/>
    <w:rsid w:val="00431249"/>
    <w:rsid w:val="00432175"/>
    <w:rsid w:val="00432BC7"/>
    <w:rsid w:val="00432D4C"/>
    <w:rsid w:val="00433CCD"/>
    <w:rsid w:val="00433FDF"/>
    <w:rsid w:val="004346A6"/>
    <w:rsid w:val="00434A49"/>
    <w:rsid w:val="00434F53"/>
    <w:rsid w:val="00435119"/>
    <w:rsid w:val="004351AB"/>
    <w:rsid w:val="0043592C"/>
    <w:rsid w:val="00435D30"/>
    <w:rsid w:val="004361E8"/>
    <w:rsid w:val="0043634E"/>
    <w:rsid w:val="0043678D"/>
    <w:rsid w:val="004367B1"/>
    <w:rsid w:val="00436A0F"/>
    <w:rsid w:val="00437150"/>
    <w:rsid w:val="00437199"/>
    <w:rsid w:val="0043750A"/>
    <w:rsid w:val="0043770C"/>
    <w:rsid w:val="00437921"/>
    <w:rsid w:val="0044077E"/>
    <w:rsid w:val="00440E99"/>
    <w:rsid w:val="0044181A"/>
    <w:rsid w:val="0044318B"/>
    <w:rsid w:val="004437E7"/>
    <w:rsid w:val="00443FF5"/>
    <w:rsid w:val="00444039"/>
    <w:rsid w:val="004443DA"/>
    <w:rsid w:val="004444B2"/>
    <w:rsid w:val="0044463D"/>
    <w:rsid w:val="00444C60"/>
    <w:rsid w:val="00445C07"/>
    <w:rsid w:val="00445DAA"/>
    <w:rsid w:val="004465B7"/>
    <w:rsid w:val="00447159"/>
    <w:rsid w:val="00447516"/>
    <w:rsid w:val="00447577"/>
    <w:rsid w:val="0044766E"/>
    <w:rsid w:val="00450719"/>
    <w:rsid w:val="00450CFA"/>
    <w:rsid w:val="00450DCC"/>
    <w:rsid w:val="004516EF"/>
    <w:rsid w:val="004520CD"/>
    <w:rsid w:val="004523A7"/>
    <w:rsid w:val="0045287E"/>
    <w:rsid w:val="00452908"/>
    <w:rsid w:val="0045339D"/>
    <w:rsid w:val="004534C7"/>
    <w:rsid w:val="00453891"/>
    <w:rsid w:val="00453A27"/>
    <w:rsid w:val="00453A96"/>
    <w:rsid w:val="00453D21"/>
    <w:rsid w:val="0045416E"/>
    <w:rsid w:val="00454B1B"/>
    <w:rsid w:val="00454B35"/>
    <w:rsid w:val="00454C6E"/>
    <w:rsid w:val="004557BB"/>
    <w:rsid w:val="00455810"/>
    <w:rsid w:val="00455CB0"/>
    <w:rsid w:val="00455EC6"/>
    <w:rsid w:val="00455FA3"/>
    <w:rsid w:val="00456012"/>
    <w:rsid w:val="00456E14"/>
    <w:rsid w:val="004574B9"/>
    <w:rsid w:val="00457CF8"/>
    <w:rsid w:val="0046022C"/>
    <w:rsid w:val="00461656"/>
    <w:rsid w:val="004623E7"/>
    <w:rsid w:val="00462A26"/>
    <w:rsid w:val="004631A2"/>
    <w:rsid w:val="00463E42"/>
    <w:rsid w:val="0046475D"/>
    <w:rsid w:val="004650DF"/>
    <w:rsid w:val="004653ED"/>
    <w:rsid w:val="004659DA"/>
    <w:rsid w:val="00465C22"/>
    <w:rsid w:val="004660F4"/>
    <w:rsid w:val="004667AC"/>
    <w:rsid w:val="00466CE0"/>
    <w:rsid w:val="00467126"/>
    <w:rsid w:val="0046716D"/>
    <w:rsid w:val="0046748B"/>
    <w:rsid w:val="0046752A"/>
    <w:rsid w:val="004679D1"/>
    <w:rsid w:val="00467C74"/>
    <w:rsid w:val="00470132"/>
    <w:rsid w:val="00470AED"/>
    <w:rsid w:val="004712CC"/>
    <w:rsid w:val="00471661"/>
    <w:rsid w:val="00471B3B"/>
    <w:rsid w:val="00471F7B"/>
    <w:rsid w:val="00472262"/>
    <w:rsid w:val="0047244D"/>
    <w:rsid w:val="00472781"/>
    <w:rsid w:val="00472E58"/>
    <w:rsid w:val="004732E9"/>
    <w:rsid w:val="00473498"/>
    <w:rsid w:val="004739D3"/>
    <w:rsid w:val="00473C8B"/>
    <w:rsid w:val="004743A2"/>
    <w:rsid w:val="0047462E"/>
    <w:rsid w:val="00474825"/>
    <w:rsid w:val="00474A1D"/>
    <w:rsid w:val="00474B26"/>
    <w:rsid w:val="00475392"/>
    <w:rsid w:val="004756AE"/>
    <w:rsid w:val="0047590C"/>
    <w:rsid w:val="00475B28"/>
    <w:rsid w:val="004762BA"/>
    <w:rsid w:val="00476410"/>
    <w:rsid w:val="00476F66"/>
    <w:rsid w:val="00477407"/>
    <w:rsid w:val="00477A65"/>
    <w:rsid w:val="00480766"/>
    <w:rsid w:val="004808BD"/>
    <w:rsid w:val="00481206"/>
    <w:rsid w:val="0048137B"/>
    <w:rsid w:val="004813AA"/>
    <w:rsid w:val="004814CF"/>
    <w:rsid w:val="004825B4"/>
    <w:rsid w:val="00482B81"/>
    <w:rsid w:val="00482C88"/>
    <w:rsid w:val="00483496"/>
    <w:rsid w:val="00483B63"/>
    <w:rsid w:val="00483FC1"/>
    <w:rsid w:val="00483FCA"/>
    <w:rsid w:val="00484C7C"/>
    <w:rsid w:val="004854BB"/>
    <w:rsid w:val="00485E70"/>
    <w:rsid w:val="0048606A"/>
    <w:rsid w:val="00486655"/>
    <w:rsid w:val="00486D96"/>
    <w:rsid w:val="004876EB"/>
    <w:rsid w:val="0048792A"/>
    <w:rsid w:val="004902AC"/>
    <w:rsid w:val="0049067B"/>
    <w:rsid w:val="004907B2"/>
    <w:rsid w:val="00490AAE"/>
    <w:rsid w:val="00490D7C"/>
    <w:rsid w:val="004911C1"/>
    <w:rsid w:val="004917DA"/>
    <w:rsid w:val="00491859"/>
    <w:rsid w:val="004919A5"/>
    <w:rsid w:val="00492070"/>
    <w:rsid w:val="0049230E"/>
    <w:rsid w:val="00492562"/>
    <w:rsid w:val="004929B5"/>
    <w:rsid w:val="00492A76"/>
    <w:rsid w:val="00492DCB"/>
    <w:rsid w:val="00492E20"/>
    <w:rsid w:val="004930BC"/>
    <w:rsid w:val="004932F5"/>
    <w:rsid w:val="0049363F"/>
    <w:rsid w:val="00493AE6"/>
    <w:rsid w:val="00494189"/>
    <w:rsid w:val="00494493"/>
    <w:rsid w:val="00494B50"/>
    <w:rsid w:val="00494C5F"/>
    <w:rsid w:val="004953D8"/>
    <w:rsid w:val="0049633A"/>
    <w:rsid w:val="0049645C"/>
    <w:rsid w:val="0049654A"/>
    <w:rsid w:val="00496606"/>
    <w:rsid w:val="00496810"/>
    <w:rsid w:val="0049699E"/>
    <w:rsid w:val="0049727F"/>
    <w:rsid w:val="004976D6"/>
    <w:rsid w:val="00497C59"/>
    <w:rsid w:val="004A0532"/>
    <w:rsid w:val="004A08A8"/>
    <w:rsid w:val="004A0BD9"/>
    <w:rsid w:val="004A0C5E"/>
    <w:rsid w:val="004A1165"/>
    <w:rsid w:val="004A133B"/>
    <w:rsid w:val="004A1658"/>
    <w:rsid w:val="004A1B61"/>
    <w:rsid w:val="004A1C26"/>
    <w:rsid w:val="004A213F"/>
    <w:rsid w:val="004A241A"/>
    <w:rsid w:val="004A242D"/>
    <w:rsid w:val="004A2A78"/>
    <w:rsid w:val="004A2AFB"/>
    <w:rsid w:val="004A2BA2"/>
    <w:rsid w:val="004A35F2"/>
    <w:rsid w:val="004A4147"/>
    <w:rsid w:val="004A42D1"/>
    <w:rsid w:val="004A4C03"/>
    <w:rsid w:val="004A4F68"/>
    <w:rsid w:val="004A51A9"/>
    <w:rsid w:val="004A55C0"/>
    <w:rsid w:val="004A5BD2"/>
    <w:rsid w:val="004A6144"/>
    <w:rsid w:val="004A63BF"/>
    <w:rsid w:val="004A6866"/>
    <w:rsid w:val="004A71A9"/>
    <w:rsid w:val="004A73FC"/>
    <w:rsid w:val="004A74AD"/>
    <w:rsid w:val="004A7B94"/>
    <w:rsid w:val="004B0BCB"/>
    <w:rsid w:val="004B0CAB"/>
    <w:rsid w:val="004B0D73"/>
    <w:rsid w:val="004B131E"/>
    <w:rsid w:val="004B1707"/>
    <w:rsid w:val="004B17F0"/>
    <w:rsid w:val="004B28D1"/>
    <w:rsid w:val="004B2998"/>
    <w:rsid w:val="004B2A75"/>
    <w:rsid w:val="004B2F49"/>
    <w:rsid w:val="004B3010"/>
    <w:rsid w:val="004B3A33"/>
    <w:rsid w:val="004B3B0E"/>
    <w:rsid w:val="004B414C"/>
    <w:rsid w:val="004B4863"/>
    <w:rsid w:val="004B48F5"/>
    <w:rsid w:val="004B4FB5"/>
    <w:rsid w:val="004B50F4"/>
    <w:rsid w:val="004B5310"/>
    <w:rsid w:val="004B57C5"/>
    <w:rsid w:val="004B5DF2"/>
    <w:rsid w:val="004B62DB"/>
    <w:rsid w:val="004B63D0"/>
    <w:rsid w:val="004B6415"/>
    <w:rsid w:val="004B6522"/>
    <w:rsid w:val="004B6674"/>
    <w:rsid w:val="004B6BC9"/>
    <w:rsid w:val="004B704E"/>
    <w:rsid w:val="004B70E5"/>
    <w:rsid w:val="004B7A25"/>
    <w:rsid w:val="004B7A83"/>
    <w:rsid w:val="004B7F3F"/>
    <w:rsid w:val="004C0C2C"/>
    <w:rsid w:val="004C1118"/>
    <w:rsid w:val="004C1137"/>
    <w:rsid w:val="004C1559"/>
    <w:rsid w:val="004C1D92"/>
    <w:rsid w:val="004C1F46"/>
    <w:rsid w:val="004C348A"/>
    <w:rsid w:val="004C4562"/>
    <w:rsid w:val="004C46DD"/>
    <w:rsid w:val="004C48AF"/>
    <w:rsid w:val="004C4FE2"/>
    <w:rsid w:val="004C56C7"/>
    <w:rsid w:val="004C5EEF"/>
    <w:rsid w:val="004C5F0B"/>
    <w:rsid w:val="004C694E"/>
    <w:rsid w:val="004C6BA8"/>
    <w:rsid w:val="004C6FAE"/>
    <w:rsid w:val="004D0134"/>
    <w:rsid w:val="004D063D"/>
    <w:rsid w:val="004D0902"/>
    <w:rsid w:val="004D0A7E"/>
    <w:rsid w:val="004D2863"/>
    <w:rsid w:val="004D2A01"/>
    <w:rsid w:val="004D3730"/>
    <w:rsid w:val="004D4AD4"/>
    <w:rsid w:val="004D55FF"/>
    <w:rsid w:val="004D5D57"/>
    <w:rsid w:val="004D5EC1"/>
    <w:rsid w:val="004D61A6"/>
    <w:rsid w:val="004D67BB"/>
    <w:rsid w:val="004D6DFD"/>
    <w:rsid w:val="004D7586"/>
    <w:rsid w:val="004D7C29"/>
    <w:rsid w:val="004E000E"/>
    <w:rsid w:val="004E0186"/>
    <w:rsid w:val="004E130B"/>
    <w:rsid w:val="004E1402"/>
    <w:rsid w:val="004E212A"/>
    <w:rsid w:val="004E23AC"/>
    <w:rsid w:val="004E2B8B"/>
    <w:rsid w:val="004E2D18"/>
    <w:rsid w:val="004E331E"/>
    <w:rsid w:val="004E3CEC"/>
    <w:rsid w:val="004E4249"/>
    <w:rsid w:val="004E4477"/>
    <w:rsid w:val="004E4C49"/>
    <w:rsid w:val="004E4E24"/>
    <w:rsid w:val="004E4EC9"/>
    <w:rsid w:val="004E50C4"/>
    <w:rsid w:val="004E574B"/>
    <w:rsid w:val="004E57AD"/>
    <w:rsid w:val="004E5E66"/>
    <w:rsid w:val="004E61F9"/>
    <w:rsid w:val="004E628C"/>
    <w:rsid w:val="004E65B5"/>
    <w:rsid w:val="004E6DA5"/>
    <w:rsid w:val="004E79F7"/>
    <w:rsid w:val="004E7ADB"/>
    <w:rsid w:val="004E7B41"/>
    <w:rsid w:val="004F01EE"/>
    <w:rsid w:val="004F0665"/>
    <w:rsid w:val="004F0DE1"/>
    <w:rsid w:val="004F1234"/>
    <w:rsid w:val="004F15C5"/>
    <w:rsid w:val="004F1969"/>
    <w:rsid w:val="004F1D43"/>
    <w:rsid w:val="004F2026"/>
    <w:rsid w:val="004F248C"/>
    <w:rsid w:val="004F2574"/>
    <w:rsid w:val="004F2B0C"/>
    <w:rsid w:val="004F3123"/>
    <w:rsid w:val="004F348E"/>
    <w:rsid w:val="004F3D82"/>
    <w:rsid w:val="004F41F2"/>
    <w:rsid w:val="004F486A"/>
    <w:rsid w:val="004F4A81"/>
    <w:rsid w:val="004F4FCD"/>
    <w:rsid w:val="004F554F"/>
    <w:rsid w:val="004F5704"/>
    <w:rsid w:val="004F5C28"/>
    <w:rsid w:val="004F5C80"/>
    <w:rsid w:val="004F5CD8"/>
    <w:rsid w:val="004F6FE8"/>
    <w:rsid w:val="004F7173"/>
    <w:rsid w:val="004F7363"/>
    <w:rsid w:val="004F7856"/>
    <w:rsid w:val="004F7F21"/>
    <w:rsid w:val="0050005C"/>
    <w:rsid w:val="00500739"/>
    <w:rsid w:val="00500ECA"/>
    <w:rsid w:val="005012C4"/>
    <w:rsid w:val="005012DB"/>
    <w:rsid w:val="0050143B"/>
    <w:rsid w:val="00501CDF"/>
    <w:rsid w:val="00501CF9"/>
    <w:rsid w:val="00502AA5"/>
    <w:rsid w:val="00502C78"/>
    <w:rsid w:val="00502CE5"/>
    <w:rsid w:val="00503068"/>
    <w:rsid w:val="00503257"/>
    <w:rsid w:val="00503B4D"/>
    <w:rsid w:val="00503BD6"/>
    <w:rsid w:val="00503C22"/>
    <w:rsid w:val="00503E59"/>
    <w:rsid w:val="005041BA"/>
    <w:rsid w:val="005041ED"/>
    <w:rsid w:val="005042B8"/>
    <w:rsid w:val="00504E6E"/>
    <w:rsid w:val="00504EE9"/>
    <w:rsid w:val="005052BB"/>
    <w:rsid w:val="00505444"/>
    <w:rsid w:val="00506095"/>
    <w:rsid w:val="005069B6"/>
    <w:rsid w:val="00506A75"/>
    <w:rsid w:val="00506D3E"/>
    <w:rsid w:val="00506E2A"/>
    <w:rsid w:val="005075EB"/>
    <w:rsid w:val="00507D51"/>
    <w:rsid w:val="0051000F"/>
    <w:rsid w:val="00510017"/>
    <w:rsid w:val="005108C9"/>
    <w:rsid w:val="0051131C"/>
    <w:rsid w:val="0051148E"/>
    <w:rsid w:val="005115A6"/>
    <w:rsid w:val="005115F6"/>
    <w:rsid w:val="00512322"/>
    <w:rsid w:val="0051263E"/>
    <w:rsid w:val="005135BC"/>
    <w:rsid w:val="00513C09"/>
    <w:rsid w:val="00514E4F"/>
    <w:rsid w:val="00514F59"/>
    <w:rsid w:val="005151B8"/>
    <w:rsid w:val="005152FE"/>
    <w:rsid w:val="00515C50"/>
    <w:rsid w:val="00517001"/>
    <w:rsid w:val="005174E0"/>
    <w:rsid w:val="00517998"/>
    <w:rsid w:val="00517A8A"/>
    <w:rsid w:val="00520476"/>
    <w:rsid w:val="00520789"/>
    <w:rsid w:val="0052111B"/>
    <w:rsid w:val="00521189"/>
    <w:rsid w:val="00521368"/>
    <w:rsid w:val="0052136B"/>
    <w:rsid w:val="00521576"/>
    <w:rsid w:val="0052241A"/>
    <w:rsid w:val="00522521"/>
    <w:rsid w:val="00522ECD"/>
    <w:rsid w:val="0052350B"/>
    <w:rsid w:val="005235A9"/>
    <w:rsid w:val="00523BD7"/>
    <w:rsid w:val="005240C5"/>
    <w:rsid w:val="00524295"/>
    <w:rsid w:val="00524CA3"/>
    <w:rsid w:val="00524D03"/>
    <w:rsid w:val="005250E6"/>
    <w:rsid w:val="005256FE"/>
    <w:rsid w:val="00525BA1"/>
    <w:rsid w:val="00526034"/>
    <w:rsid w:val="00526042"/>
    <w:rsid w:val="00526C78"/>
    <w:rsid w:val="005273B2"/>
    <w:rsid w:val="00530126"/>
    <w:rsid w:val="00530B2B"/>
    <w:rsid w:val="005311CF"/>
    <w:rsid w:val="00531878"/>
    <w:rsid w:val="00531D3B"/>
    <w:rsid w:val="00532CC1"/>
    <w:rsid w:val="00532D7E"/>
    <w:rsid w:val="00532DAE"/>
    <w:rsid w:val="00533939"/>
    <w:rsid w:val="005341BB"/>
    <w:rsid w:val="00534E9F"/>
    <w:rsid w:val="00535F01"/>
    <w:rsid w:val="005366F7"/>
    <w:rsid w:val="00536A3F"/>
    <w:rsid w:val="00536CDD"/>
    <w:rsid w:val="00536DDB"/>
    <w:rsid w:val="005370CF"/>
    <w:rsid w:val="00537606"/>
    <w:rsid w:val="0054000E"/>
    <w:rsid w:val="00540176"/>
    <w:rsid w:val="005401FB"/>
    <w:rsid w:val="005405D6"/>
    <w:rsid w:val="00540FBE"/>
    <w:rsid w:val="00541241"/>
    <w:rsid w:val="00542146"/>
    <w:rsid w:val="00542D23"/>
    <w:rsid w:val="0054326F"/>
    <w:rsid w:val="00543DF6"/>
    <w:rsid w:val="00543EDB"/>
    <w:rsid w:val="0054431C"/>
    <w:rsid w:val="0054442C"/>
    <w:rsid w:val="00544715"/>
    <w:rsid w:val="0054486D"/>
    <w:rsid w:val="005449CB"/>
    <w:rsid w:val="00544E21"/>
    <w:rsid w:val="00545135"/>
    <w:rsid w:val="00545161"/>
    <w:rsid w:val="00545FAC"/>
    <w:rsid w:val="005464A0"/>
    <w:rsid w:val="00546551"/>
    <w:rsid w:val="005466A7"/>
    <w:rsid w:val="00546C88"/>
    <w:rsid w:val="00546D9C"/>
    <w:rsid w:val="00550285"/>
    <w:rsid w:val="005503B7"/>
    <w:rsid w:val="00550BE4"/>
    <w:rsid w:val="00551102"/>
    <w:rsid w:val="005511AA"/>
    <w:rsid w:val="00551590"/>
    <w:rsid w:val="00551DA5"/>
    <w:rsid w:val="005526D1"/>
    <w:rsid w:val="005529E6"/>
    <w:rsid w:val="005533C1"/>
    <w:rsid w:val="00553C8D"/>
    <w:rsid w:val="005547D0"/>
    <w:rsid w:val="00554A48"/>
    <w:rsid w:val="00554D71"/>
    <w:rsid w:val="00555482"/>
    <w:rsid w:val="005556BC"/>
    <w:rsid w:val="0055634D"/>
    <w:rsid w:val="0055676F"/>
    <w:rsid w:val="005567F5"/>
    <w:rsid w:val="005600BA"/>
    <w:rsid w:val="0056046B"/>
    <w:rsid w:val="00560486"/>
    <w:rsid w:val="00561266"/>
    <w:rsid w:val="005615BD"/>
    <w:rsid w:val="00561635"/>
    <w:rsid w:val="0056163E"/>
    <w:rsid w:val="005617DC"/>
    <w:rsid w:val="00561FF1"/>
    <w:rsid w:val="00562492"/>
    <w:rsid w:val="00562FCB"/>
    <w:rsid w:val="0056393F"/>
    <w:rsid w:val="00563F13"/>
    <w:rsid w:val="00564126"/>
    <w:rsid w:val="00564AD4"/>
    <w:rsid w:val="00564F4B"/>
    <w:rsid w:val="0056573A"/>
    <w:rsid w:val="00565742"/>
    <w:rsid w:val="005659D0"/>
    <w:rsid w:val="005659E9"/>
    <w:rsid w:val="00565F9E"/>
    <w:rsid w:val="00566169"/>
    <w:rsid w:val="0056630E"/>
    <w:rsid w:val="00566A62"/>
    <w:rsid w:val="00566B2A"/>
    <w:rsid w:val="00567081"/>
    <w:rsid w:val="00567164"/>
    <w:rsid w:val="00567261"/>
    <w:rsid w:val="005673F4"/>
    <w:rsid w:val="0056745B"/>
    <w:rsid w:val="0056794A"/>
    <w:rsid w:val="00567C0D"/>
    <w:rsid w:val="00567FD7"/>
    <w:rsid w:val="00570346"/>
    <w:rsid w:val="005704CC"/>
    <w:rsid w:val="00570B0A"/>
    <w:rsid w:val="00570BA0"/>
    <w:rsid w:val="0057154D"/>
    <w:rsid w:val="00571BED"/>
    <w:rsid w:val="00572165"/>
    <w:rsid w:val="00572495"/>
    <w:rsid w:val="0057260A"/>
    <w:rsid w:val="00572839"/>
    <w:rsid w:val="005729F4"/>
    <w:rsid w:val="00572A20"/>
    <w:rsid w:val="00572A77"/>
    <w:rsid w:val="00572A90"/>
    <w:rsid w:val="00572F2C"/>
    <w:rsid w:val="005730C7"/>
    <w:rsid w:val="005730D7"/>
    <w:rsid w:val="005731FA"/>
    <w:rsid w:val="005739F8"/>
    <w:rsid w:val="00574567"/>
    <w:rsid w:val="00574801"/>
    <w:rsid w:val="00574851"/>
    <w:rsid w:val="00575241"/>
    <w:rsid w:val="005755C6"/>
    <w:rsid w:val="0057573F"/>
    <w:rsid w:val="00575AD1"/>
    <w:rsid w:val="00576392"/>
    <w:rsid w:val="00576BE3"/>
    <w:rsid w:val="00576D5D"/>
    <w:rsid w:val="0057718E"/>
    <w:rsid w:val="00577523"/>
    <w:rsid w:val="00577821"/>
    <w:rsid w:val="0057788D"/>
    <w:rsid w:val="005801EB"/>
    <w:rsid w:val="00580261"/>
    <w:rsid w:val="00580B6F"/>
    <w:rsid w:val="00580B81"/>
    <w:rsid w:val="00580ED7"/>
    <w:rsid w:val="0058190F"/>
    <w:rsid w:val="00581ED1"/>
    <w:rsid w:val="005822C7"/>
    <w:rsid w:val="005824B7"/>
    <w:rsid w:val="00583426"/>
    <w:rsid w:val="005835D8"/>
    <w:rsid w:val="005836F8"/>
    <w:rsid w:val="005843B2"/>
    <w:rsid w:val="005845A9"/>
    <w:rsid w:val="005845B7"/>
    <w:rsid w:val="00584A23"/>
    <w:rsid w:val="00584A28"/>
    <w:rsid w:val="00585EF4"/>
    <w:rsid w:val="00585FB2"/>
    <w:rsid w:val="00586158"/>
    <w:rsid w:val="005861E6"/>
    <w:rsid w:val="00586CB2"/>
    <w:rsid w:val="00586DC3"/>
    <w:rsid w:val="00586EEA"/>
    <w:rsid w:val="0058766F"/>
    <w:rsid w:val="00587BCC"/>
    <w:rsid w:val="00587FAA"/>
    <w:rsid w:val="0059004B"/>
    <w:rsid w:val="0059057C"/>
    <w:rsid w:val="00590B05"/>
    <w:rsid w:val="005918FA"/>
    <w:rsid w:val="00591B6A"/>
    <w:rsid w:val="0059255D"/>
    <w:rsid w:val="0059259C"/>
    <w:rsid w:val="00592A86"/>
    <w:rsid w:val="00593686"/>
    <w:rsid w:val="005936CD"/>
    <w:rsid w:val="00593A4B"/>
    <w:rsid w:val="00593B60"/>
    <w:rsid w:val="00593F3D"/>
    <w:rsid w:val="005940C8"/>
    <w:rsid w:val="0059479A"/>
    <w:rsid w:val="005948E1"/>
    <w:rsid w:val="00594EDB"/>
    <w:rsid w:val="00595AA8"/>
    <w:rsid w:val="005960FC"/>
    <w:rsid w:val="0059651C"/>
    <w:rsid w:val="005968E7"/>
    <w:rsid w:val="00596C94"/>
    <w:rsid w:val="00596DFC"/>
    <w:rsid w:val="00597165"/>
    <w:rsid w:val="005978E5"/>
    <w:rsid w:val="00597910"/>
    <w:rsid w:val="00597C84"/>
    <w:rsid w:val="005A1CD5"/>
    <w:rsid w:val="005A1CDC"/>
    <w:rsid w:val="005A2491"/>
    <w:rsid w:val="005A2803"/>
    <w:rsid w:val="005A2849"/>
    <w:rsid w:val="005A28E6"/>
    <w:rsid w:val="005A2987"/>
    <w:rsid w:val="005A2B45"/>
    <w:rsid w:val="005A2D67"/>
    <w:rsid w:val="005A353C"/>
    <w:rsid w:val="005A4214"/>
    <w:rsid w:val="005A47C8"/>
    <w:rsid w:val="005A49A8"/>
    <w:rsid w:val="005A4EA3"/>
    <w:rsid w:val="005A53AF"/>
    <w:rsid w:val="005A5799"/>
    <w:rsid w:val="005A596D"/>
    <w:rsid w:val="005A5E95"/>
    <w:rsid w:val="005A6B6E"/>
    <w:rsid w:val="005A6FF1"/>
    <w:rsid w:val="005A7286"/>
    <w:rsid w:val="005A7375"/>
    <w:rsid w:val="005A7A5A"/>
    <w:rsid w:val="005B0231"/>
    <w:rsid w:val="005B0622"/>
    <w:rsid w:val="005B090C"/>
    <w:rsid w:val="005B0D6E"/>
    <w:rsid w:val="005B0D8D"/>
    <w:rsid w:val="005B0ED7"/>
    <w:rsid w:val="005B13D0"/>
    <w:rsid w:val="005B159C"/>
    <w:rsid w:val="005B181C"/>
    <w:rsid w:val="005B191C"/>
    <w:rsid w:val="005B1C58"/>
    <w:rsid w:val="005B27A2"/>
    <w:rsid w:val="005B2B8B"/>
    <w:rsid w:val="005B2EA4"/>
    <w:rsid w:val="005B2EEF"/>
    <w:rsid w:val="005B3029"/>
    <w:rsid w:val="005B3597"/>
    <w:rsid w:val="005B36A1"/>
    <w:rsid w:val="005B38C1"/>
    <w:rsid w:val="005B399C"/>
    <w:rsid w:val="005B432A"/>
    <w:rsid w:val="005B479B"/>
    <w:rsid w:val="005B4801"/>
    <w:rsid w:val="005B4EE8"/>
    <w:rsid w:val="005B4FD7"/>
    <w:rsid w:val="005B500F"/>
    <w:rsid w:val="005B562D"/>
    <w:rsid w:val="005B5915"/>
    <w:rsid w:val="005B5C56"/>
    <w:rsid w:val="005B638D"/>
    <w:rsid w:val="005B6FC9"/>
    <w:rsid w:val="005B7386"/>
    <w:rsid w:val="005B7CB2"/>
    <w:rsid w:val="005B7D74"/>
    <w:rsid w:val="005B7D94"/>
    <w:rsid w:val="005B7F76"/>
    <w:rsid w:val="005C00B9"/>
    <w:rsid w:val="005C044E"/>
    <w:rsid w:val="005C0A34"/>
    <w:rsid w:val="005C125A"/>
    <w:rsid w:val="005C12B0"/>
    <w:rsid w:val="005C1BEF"/>
    <w:rsid w:val="005C1C01"/>
    <w:rsid w:val="005C23A4"/>
    <w:rsid w:val="005C2475"/>
    <w:rsid w:val="005C2B67"/>
    <w:rsid w:val="005C3085"/>
    <w:rsid w:val="005C33A8"/>
    <w:rsid w:val="005C353D"/>
    <w:rsid w:val="005C355A"/>
    <w:rsid w:val="005C37BE"/>
    <w:rsid w:val="005C3FA2"/>
    <w:rsid w:val="005C4132"/>
    <w:rsid w:val="005C4574"/>
    <w:rsid w:val="005C468A"/>
    <w:rsid w:val="005C46A2"/>
    <w:rsid w:val="005C4B4B"/>
    <w:rsid w:val="005C4BB2"/>
    <w:rsid w:val="005C50DF"/>
    <w:rsid w:val="005C5B23"/>
    <w:rsid w:val="005C5B65"/>
    <w:rsid w:val="005C602C"/>
    <w:rsid w:val="005C6A5A"/>
    <w:rsid w:val="005C6B37"/>
    <w:rsid w:val="005C6E7F"/>
    <w:rsid w:val="005C706A"/>
    <w:rsid w:val="005C7227"/>
    <w:rsid w:val="005C7EE8"/>
    <w:rsid w:val="005D037A"/>
    <w:rsid w:val="005D07C4"/>
    <w:rsid w:val="005D0881"/>
    <w:rsid w:val="005D09C4"/>
    <w:rsid w:val="005D13FD"/>
    <w:rsid w:val="005D1CDF"/>
    <w:rsid w:val="005D1D9B"/>
    <w:rsid w:val="005D1E99"/>
    <w:rsid w:val="005D1EAC"/>
    <w:rsid w:val="005D2BB7"/>
    <w:rsid w:val="005D2D2A"/>
    <w:rsid w:val="005D2DBA"/>
    <w:rsid w:val="005D2EB1"/>
    <w:rsid w:val="005D2F8D"/>
    <w:rsid w:val="005D3535"/>
    <w:rsid w:val="005D354F"/>
    <w:rsid w:val="005D3ECE"/>
    <w:rsid w:val="005D4155"/>
    <w:rsid w:val="005D4F74"/>
    <w:rsid w:val="005D5070"/>
    <w:rsid w:val="005D583A"/>
    <w:rsid w:val="005D5D70"/>
    <w:rsid w:val="005D5EA4"/>
    <w:rsid w:val="005D5F07"/>
    <w:rsid w:val="005D6930"/>
    <w:rsid w:val="005D6FFE"/>
    <w:rsid w:val="005D736D"/>
    <w:rsid w:val="005D73A2"/>
    <w:rsid w:val="005D73C0"/>
    <w:rsid w:val="005D7A14"/>
    <w:rsid w:val="005E01C2"/>
    <w:rsid w:val="005E08FD"/>
    <w:rsid w:val="005E1283"/>
    <w:rsid w:val="005E18D4"/>
    <w:rsid w:val="005E1D6C"/>
    <w:rsid w:val="005E26A4"/>
    <w:rsid w:val="005E28E2"/>
    <w:rsid w:val="005E2A9B"/>
    <w:rsid w:val="005E2CC2"/>
    <w:rsid w:val="005E35B3"/>
    <w:rsid w:val="005E400A"/>
    <w:rsid w:val="005E4362"/>
    <w:rsid w:val="005E4FA6"/>
    <w:rsid w:val="005E542D"/>
    <w:rsid w:val="005E580A"/>
    <w:rsid w:val="005E60A2"/>
    <w:rsid w:val="005E61A8"/>
    <w:rsid w:val="005E698B"/>
    <w:rsid w:val="005E6F64"/>
    <w:rsid w:val="005E705A"/>
    <w:rsid w:val="005E719E"/>
    <w:rsid w:val="005E77EE"/>
    <w:rsid w:val="005E7B61"/>
    <w:rsid w:val="005F012B"/>
    <w:rsid w:val="005F0DBC"/>
    <w:rsid w:val="005F11D9"/>
    <w:rsid w:val="005F1FC4"/>
    <w:rsid w:val="005F25A3"/>
    <w:rsid w:val="005F26C1"/>
    <w:rsid w:val="005F2D6E"/>
    <w:rsid w:val="005F2FA7"/>
    <w:rsid w:val="005F300A"/>
    <w:rsid w:val="005F31E3"/>
    <w:rsid w:val="005F3778"/>
    <w:rsid w:val="005F3B22"/>
    <w:rsid w:val="005F3BE9"/>
    <w:rsid w:val="005F40C2"/>
    <w:rsid w:val="005F4D65"/>
    <w:rsid w:val="005F4F9C"/>
    <w:rsid w:val="005F5233"/>
    <w:rsid w:val="005F5904"/>
    <w:rsid w:val="005F5C91"/>
    <w:rsid w:val="005F5E36"/>
    <w:rsid w:val="005F6277"/>
    <w:rsid w:val="005F627F"/>
    <w:rsid w:val="005F6419"/>
    <w:rsid w:val="005F680F"/>
    <w:rsid w:val="005F6943"/>
    <w:rsid w:val="005F6ED5"/>
    <w:rsid w:val="005F70FB"/>
    <w:rsid w:val="005F7272"/>
    <w:rsid w:val="005F7520"/>
    <w:rsid w:val="005F76BD"/>
    <w:rsid w:val="005F7A4A"/>
    <w:rsid w:val="005F7EA2"/>
    <w:rsid w:val="005F7F23"/>
    <w:rsid w:val="00600138"/>
    <w:rsid w:val="006004E6"/>
    <w:rsid w:val="00600A47"/>
    <w:rsid w:val="00600B28"/>
    <w:rsid w:val="0060160A"/>
    <w:rsid w:val="00601933"/>
    <w:rsid w:val="00602166"/>
    <w:rsid w:val="00602EB7"/>
    <w:rsid w:val="0060301D"/>
    <w:rsid w:val="00603BF2"/>
    <w:rsid w:val="00603ED7"/>
    <w:rsid w:val="0060466C"/>
    <w:rsid w:val="00604691"/>
    <w:rsid w:val="006049D6"/>
    <w:rsid w:val="00604AF6"/>
    <w:rsid w:val="00605167"/>
    <w:rsid w:val="0060543D"/>
    <w:rsid w:val="00606219"/>
    <w:rsid w:val="006063B4"/>
    <w:rsid w:val="006064BA"/>
    <w:rsid w:val="006071A1"/>
    <w:rsid w:val="00607469"/>
    <w:rsid w:val="0061004B"/>
    <w:rsid w:val="00610448"/>
    <w:rsid w:val="006104DD"/>
    <w:rsid w:val="00610691"/>
    <w:rsid w:val="00610E6B"/>
    <w:rsid w:val="00611B1E"/>
    <w:rsid w:val="00611DB3"/>
    <w:rsid w:val="00611E70"/>
    <w:rsid w:val="00612331"/>
    <w:rsid w:val="00612D64"/>
    <w:rsid w:val="006130B5"/>
    <w:rsid w:val="006135B4"/>
    <w:rsid w:val="00613737"/>
    <w:rsid w:val="00613A91"/>
    <w:rsid w:val="00613B04"/>
    <w:rsid w:val="00613EC3"/>
    <w:rsid w:val="0061400E"/>
    <w:rsid w:val="006140F3"/>
    <w:rsid w:val="00614104"/>
    <w:rsid w:val="00614900"/>
    <w:rsid w:val="006149A2"/>
    <w:rsid w:val="006149D2"/>
    <w:rsid w:val="00614DD8"/>
    <w:rsid w:val="00614ECE"/>
    <w:rsid w:val="006156C5"/>
    <w:rsid w:val="00615AA9"/>
    <w:rsid w:val="0061650D"/>
    <w:rsid w:val="006167A0"/>
    <w:rsid w:val="00616B1D"/>
    <w:rsid w:val="00617294"/>
    <w:rsid w:val="00617400"/>
    <w:rsid w:val="00617436"/>
    <w:rsid w:val="0061768F"/>
    <w:rsid w:val="00617D98"/>
    <w:rsid w:val="0062017E"/>
    <w:rsid w:val="006211C9"/>
    <w:rsid w:val="00621301"/>
    <w:rsid w:val="00621A6B"/>
    <w:rsid w:val="00621AE4"/>
    <w:rsid w:val="00621B5A"/>
    <w:rsid w:val="00621E89"/>
    <w:rsid w:val="00622CDC"/>
    <w:rsid w:val="0062329C"/>
    <w:rsid w:val="00623AD4"/>
    <w:rsid w:val="00623D53"/>
    <w:rsid w:val="00623E46"/>
    <w:rsid w:val="00623F86"/>
    <w:rsid w:val="00624789"/>
    <w:rsid w:val="006248EC"/>
    <w:rsid w:val="00624A3C"/>
    <w:rsid w:val="00624ADA"/>
    <w:rsid w:val="00624B59"/>
    <w:rsid w:val="0062507F"/>
    <w:rsid w:val="0062551B"/>
    <w:rsid w:val="0062559F"/>
    <w:rsid w:val="006257DB"/>
    <w:rsid w:val="0062618B"/>
    <w:rsid w:val="006273D7"/>
    <w:rsid w:val="00627568"/>
    <w:rsid w:val="0063057C"/>
    <w:rsid w:val="00630722"/>
    <w:rsid w:val="0063092B"/>
    <w:rsid w:val="006310E8"/>
    <w:rsid w:val="00631617"/>
    <w:rsid w:val="00631751"/>
    <w:rsid w:val="006317E6"/>
    <w:rsid w:val="0063217F"/>
    <w:rsid w:val="0063224B"/>
    <w:rsid w:val="00632647"/>
    <w:rsid w:val="00632C97"/>
    <w:rsid w:val="00632D29"/>
    <w:rsid w:val="00633128"/>
    <w:rsid w:val="00633695"/>
    <w:rsid w:val="006336A9"/>
    <w:rsid w:val="00633A2C"/>
    <w:rsid w:val="00633ABF"/>
    <w:rsid w:val="006343EF"/>
    <w:rsid w:val="006344B8"/>
    <w:rsid w:val="006346E7"/>
    <w:rsid w:val="00634948"/>
    <w:rsid w:val="00634CEF"/>
    <w:rsid w:val="00634D10"/>
    <w:rsid w:val="00634E16"/>
    <w:rsid w:val="00634E7D"/>
    <w:rsid w:val="006354D1"/>
    <w:rsid w:val="00635748"/>
    <w:rsid w:val="0063595A"/>
    <w:rsid w:val="006360E5"/>
    <w:rsid w:val="00637C76"/>
    <w:rsid w:val="00637FF7"/>
    <w:rsid w:val="00640835"/>
    <w:rsid w:val="00640D90"/>
    <w:rsid w:val="006413D2"/>
    <w:rsid w:val="00641963"/>
    <w:rsid w:val="00641AEC"/>
    <w:rsid w:val="00642555"/>
    <w:rsid w:val="0064258A"/>
    <w:rsid w:val="00642873"/>
    <w:rsid w:val="006429D3"/>
    <w:rsid w:val="0064332C"/>
    <w:rsid w:val="006439A0"/>
    <w:rsid w:val="00643B46"/>
    <w:rsid w:val="00643C60"/>
    <w:rsid w:val="0064452A"/>
    <w:rsid w:val="00644D4A"/>
    <w:rsid w:val="00645499"/>
    <w:rsid w:val="00645AA5"/>
    <w:rsid w:val="00645CD5"/>
    <w:rsid w:val="00645F80"/>
    <w:rsid w:val="006464BB"/>
    <w:rsid w:val="006464DB"/>
    <w:rsid w:val="00646BF8"/>
    <w:rsid w:val="00646F9B"/>
    <w:rsid w:val="00647A26"/>
    <w:rsid w:val="00647F69"/>
    <w:rsid w:val="00647FDC"/>
    <w:rsid w:val="00650919"/>
    <w:rsid w:val="00650920"/>
    <w:rsid w:val="00650E2C"/>
    <w:rsid w:val="00650FA7"/>
    <w:rsid w:val="00651081"/>
    <w:rsid w:val="006513BB"/>
    <w:rsid w:val="0065149D"/>
    <w:rsid w:val="006515AF"/>
    <w:rsid w:val="00651635"/>
    <w:rsid w:val="0065179B"/>
    <w:rsid w:val="00651B07"/>
    <w:rsid w:val="00651C93"/>
    <w:rsid w:val="00651E7A"/>
    <w:rsid w:val="00651EA4"/>
    <w:rsid w:val="006523F6"/>
    <w:rsid w:val="00653934"/>
    <w:rsid w:val="00653A8A"/>
    <w:rsid w:val="006540D5"/>
    <w:rsid w:val="00654487"/>
    <w:rsid w:val="00654562"/>
    <w:rsid w:val="00654925"/>
    <w:rsid w:val="00654E24"/>
    <w:rsid w:val="006550A1"/>
    <w:rsid w:val="0065512C"/>
    <w:rsid w:val="0065525A"/>
    <w:rsid w:val="006557C0"/>
    <w:rsid w:val="00655CF5"/>
    <w:rsid w:val="00656074"/>
    <w:rsid w:val="006560B6"/>
    <w:rsid w:val="00656656"/>
    <w:rsid w:val="00656935"/>
    <w:rsid w:val="00656AEF"/>
    <w:rsid w:val="00656EB2"/>
    <w:rsid w:val="00656F78"/>
    <w:rsid w:val="006579C4"/>
    <w:rsid w:val="00657A0F"/>
    <w:rsid w:val="00657BAB"/>
    <w:rsid w:val="00657FE6"/>
    <w:rsid w:val="0066018C"/>
    <w:rsid w:val="00660233"/>
    <w:rsid w:val="006603B4"/>
    <w:rsid w:val="006607AA"/>
    <w:rsid w:val="00660C90"/>
    <w:rsid w:val="00660E69"/>
    <w:rsid w:val="00661812"/>
    <w:rsid w:val="0066185D"/>
    <w:rsid w:val="0066275F"/>
    <w:rsid w:val="00662D71"/>
    <w:rsid w:val="00663624"/>
    <w:rsid w:val="006636B6"/>
    <w:rsid w:val="00663FE2"/>
    <w:rsid w:val="0066429A"/>
    <w:rsid w:val="006644E3"/>
    <w:rsid w:val="00664950"/>
    <w:rsid w:val="00664ABA"/>
    <w:rsid w:val="00665014"/>
    <w:rsid w:val="00665393"/>
    <w:rsid w:val="0066579A"/>
    <w:rsid w:val="00665B64"/>
    <w:rsid w:val="006664D5"/>
    <w:rsid w:val="0066689E"/>
    <w:rsid w:val="00666CB4"/>
    <w:rsid w:val="00666D04"/>
    <w:rsid w:val="00666FFA"/>
    <w:rsid w:val="0066714B"/>
    <w:rsid w:val="006671B4"/>
    <w:rsid w:val="00667B2D"/>
    <w:rsid w:val="00667EFD"/>
    <w:rsid w:val="00670878"/>
    <w:rsid w:val="00670CC0"/>
    <w:rsid w:val="0067168C"/>
    <w:rsid w:val="00671B9C"/>
    <w:rsid w:val="006721AB"/>
    <w:rsid w:val="006721D3"/>
    <w:rsid w:val="0067239B"/>
    <w:rsid w:val="006723E0"/>
    <w:rsid w:val="0067259C"/>
    <w:rsid w:val="006727E0"/>
    <w:rsid w:val="00672A4D"/>
    <w:rsid w:val="0067383F"/>
    <w:rsid w:val="0067389A"/>
    <w:rsid w:val="00673AD0"/>
    <w:rsid w:val="00673B73"/>
    <w:rsid w:val="00673BDD"/>
    <w:rsid w:val="00673F68"/>
    <w:rsid w:val="0067448B"/>
    <w:rsid w:val="00674A8A"/>
    <w:rsid w:val="00674C74"/>
    <w:rsid w:val="00674C84"/>
    <w:rsid w:val="00674D45"/>
    <w:rsid w:val="00675865"/>
    <w:rsid w:val="006762E3"/>
    <w:rsid w:val="00676419"/>
    <w:rsid w:val="00676449"/>
    <w:rsid w:val="00676B1D"/>
    <w:rsid w:val="006770E5"/>
    <w:rsid w:val="006776BA"/>
    <w:rsid w:val="00677B55"/>
    <w:rsid w:val="00677B74"/>
    <w:rsid w:val="00680062"/>
    <w:rsid w:val="006800BD"/>
    <w:rsid w:val="006804CE"/>
    <w:rsid w:val="0068093E"/>
    <w:rsid w:val="00681093"/>
    <w:rsid w:val="00681618"/>
    <w:rsid w:val="0068175A"/>
    <w:rsid w:val="00681C31"/>
    <w:rsid w:val="00681D0E"/>
    <w:rsid w:val="00682CF3"/>
    <w:rsid w:val="00683044"/>
    <w:rsid w:val="00683220"/>
    <w:rsid w:val="00683ADD"/>
    <w:rsid w:val="00683F07"/>
    <w:rsid w:val="00683F92"/>
    <w:rsid w:val="0068438F"/>
    <w:rsid w:val="006845A5"/>
    <w:rsid w:val="006848DD"/>
    <w:rsid w:val="00684A56"/>
    <w:rsid w:val="00684BD1"/>
    <w:rsid w:val="00684D1A"/>
    <w:rsid w:val="0068540F"/>
    <w:rsid w:val="0068559C"/>
    <w:rsid w:val="00685782"/>
    <w:rsid w:val="0068667A"/>
    <w:rsid w:val="006869FE"/>
    <w:rsid w:val="00686EDB"/>
    <w:rsid w:val="006872BA"/>
    <w:rsid w:val="006878A8"/>
    <w:rsid w:val="00687EFC"/>
    <w:rsid w:val="00687FA0"/>
    <w:rsid w:val="00690D8F"/>
    <w:rsid w:val="006911B3"/>
    <w:rsid w:val="00691670"/>
    <w:rsid w:val="006919CE"/>
    <w:rsid w:val="006925B5"/>
    <w:rsid w:val="006926AA"/>
    <w:rsid w:val="006928B7"/>
    <w:rsid w:val="00692DE2"/>
    <w:rsid w:val="00692E11"/>
    <w:rsid w:val="00693B23"/>
    <w:rsid w:val="00693DDE"/>
    <w:rsid w:val="006940D2"/>
    <w:rsid w:val="0069410B"/>
    <w:rsid w:val="00694561"/>
    <w:rsid w:val="00694570"/>
    <w:rsid w:val="006951D4"/>
    <w:rsid w:val="006957A3"/>
    <w:rsid w:val="00695D29"/>
    <w:rsid w:val="006962F3"/>
    <w:rsid w:val="00697047"/>
    <w:rsid w:val="00697156"/>
    <w:rsid w:val="006971DB"/>
    <w:rsid w:val="00697C92"/>
    <w:rsid w:val="006A025A"/>
    <w:rsid w:val="006A0726"/>
    <w:rsid w:val="006A0C23"/>
    <w:rsid w:val="006A1157"/>
    <w:rsid w:val="006A17E6"/>
    <w:rsid w:val="006A1FAB"/>
    <w:rsid w:val="006A23F8"/>
    <w:rsid w:val="006A249C"/>
    <w:rsid w:val="006A276F"/>
    <w:rsid w:val="006A2AA5"/>
    <w:rsid w:val="006A2F7C"/>
    <w:rsid w:val="006A36B3"/>
    <w:rsid w:val="006A36FD"/>
    <w:rsid w:val="006A3778"/>
    <w:rsid w:val="006A3C11"/>
    <w:rsid w:val="006A3C3D"/>
    <w:rsid w:val="006A4468"/>
    <w:rsid w:val="006A47F5"/>
    <w:rsid w:val="006A48BF"/>
    <w:rsid w:val="006A5381"/>
    <w:rsid w:val="006A5564"/>
    <w:rsid w:val="006A57C3"/>
    <w:rsid w:val="006A5B89"/>
    <w:rsid w:val="006A6141"/>
    <w:rsid w:val="006A652D"/>
    <w:rsid w:val="006A66A4"/>
    <w:rsid w:val="006A6E0F"/>
    <w:rsid w:val="006A6E8F"/>
    <w:rsid w:val="006B0A96"/>
    <w:rsid w:val="006B1786"/>
    <w:rsid w:val="006B1AAC"/>
    <w:rsid w:val="006B1E7C"/>
    <w:rsid w:val="006B25A6"/>
    <w:rsid w:val="006B290C"/>
    <w:rsid w:val="006B30BE"/>
    <w:rsid w:val="006B30D9"/>
    <w:rsid w:val="006B457E"/>
    <w:rsid w:val="006B4B4E"/>
    <w:rsid w:val="006B4C24"/>
    <w:rsid w:val="006B53D3"/>
    <w:rsid w:val="006B53D6"/>
    <w:rsid w:val="006B7010"/>
    <w:rsid w:val="006B77CC"/>
    <w:rsid w:val="006B79E8"/>
    <w:rsid w:val="006C0532"/>
    <w:rsid w:val="006C05B6"/>
    <w:rsid w:val="006C132E"/>
    <w:rsid w:val="006C1457"/>
    <w:rsid w:val="006C1650"/>
    <w:rsid w:val="006C1A55"/>
    <w:rsid w:val="006C1AB3"/>
    <w:rsid w:val="006C1AD6"/>
    <w:rsid w:val="006C1B3C"/>
    <w:rsid w:val="006C2378"/>
    <w:rsid w:val="006C251E"/>
    <w:rsid w:val="006C26FE"/>
    <w:rsid w:val="006C270F"/>
    <w:rsid w:val="006C2C66"/>
    <w:rsid w:val="006C3095"/>
    <w:rsid w:val="006C32BA"/>
    <w:rsid w:val="006C48CA"/>
    <w:rsid w:val="006C4EAB"/>
    <w:rsid w:val="006C5184"/>
    <w:rsid w:val="006C54FC"/>
    <w:rsid w:val="006C582F"/>
    <w:rsid w:val="006C5DA2"/>
    <w:rsid w:val="006C6056"/>
    <w:rsid w:val="006C618E"/>
    <w:rsid w:val="006C6203"/>
    <w:rsid w:val="006C6248"/>
    <w:rsid w:val="006C6623"/>
    <w:rsid w:val="006C687C"/>
    <w:rsid w:val="006C6C2E"/>
    <w:rsid w:val="006C6ED1"/>
    <w:rsid w:val="006C7028"/>
    <w:rsid w:val="006C7192"/>
    <w:rsid w:val="006C7A79"/>
    <w:rsid w:val="006C7C62"/>
    <w:rsid w:val="006D0673"/>
    <w:rsid w:val="006D11D3"/>
    <w:rsid w:val="006D14C0"/>
    <w:rsid w:val="006D1622"/>
    <w:rsid w:val="006D171E"/>
    <w:rsid w:val="006D18DA"/>
    <w:rsid w:val="006D1C0D"/>
    <w:rsid w:val="006D2444"/>
    <w:rsid w:val="006D27A5"/>
    <w:rsid w:val="006D35B0"/>
    <w:rsid w:val="006D3A57"/>
    <w:rsid w:val="006D3CE1"/>
    <w:rsid w:val="006D41D1"/>
    <w:rsid w:val="006D4CCC"/>
    <w:rsid w:val="006D510B"/>
    <w:rsid w:val="006D5457"/>
    <w:rsid w:val="006D5AF0"/>
    <w:rsid w:val="006D5C1F"/>
    <w:rsid w:val="006D6328"/>
    <w:rsid w:val="006D64B3"/>
    <w:rsid w:val="006D687B"/>
    <w:rsid w:val="006D6A34"/>
    <w:rsid w:val="006D72B8"/>
    <w:rsid w:val="006D743B"/>
    <w:rsid w:val="006D786F"/>
    <w:rsid w:val="006D7901"/>
    <w:rsid w:val="006E001E"/>
    <w:rsid w:val="006E0EA3"/>
    <w:rsid w:val="006E1139"/>
    <w:rsid w:val="006E1151"/>
    <w:rsid w:val="006E13BB"/>
    <w:rsid w:val="006E1CE5"/>
    <w:rsid w:val="006E2C29"/>
    <w:rsid w:val="006E2E39"/>
    <w:rsid w:val="006E33C1"/>
    <w:rsid w:val="006E39BB"/>
    <w:rsid w:val="006E3BD7"/>
    <w:rsid w:val="006E3CD6"/>
    <w:rsid w:val="006E3D8E"/>
    <w:rsid w:val="006E466B"/>
    <w:rsid w:val="006E480D"/>
    <w:rsid w:val="006E4BAF"/>
    <w:rsid w:val="006E4BFE"/>
    <w:rsid w:val="006E56BA"/>
    <w:rsid w:val="006E5777"/>
    <w:rsid w:val="006E5B53"/>
    <w:rsid w:val="006E5CCA"/>
    <w:rsid w:val="006E5E37"/>
    <w:rsid w:val="006E6311"/>
    <w:rsid w:val="006E694A"/>
    <w:rsid w:val="006E759A"/>
    <w:rsid w:val="006E790A"/>
    <w:rsid w:val="006E79CC"/>
    <w:rsid w:val="006E7ACE"/>
    <w:rsid w:val="006E7B34"/>
    <w:rsid w:val="006E7E69"/>
    <w:rsid w:val="006F0A10"/>
    <w:rsid w:val="006F10D9"/>
    <w:rsid w:val="006F1FCC"/>
    <w:rsid w:val="006F2ABF"/>
    <w:rsid w:val="006F2EA3"/>
    <w:rsid w:val="006F2F55"/>
    <w:rsid w:val="006F3215"/>
    <w:rsid w:val="006F378F"/>
    <w:rsid w:val="006F3F2F"/>
    <w:rsid w:val="006F42C8"/>
    <w:rsid w:val="006F4FB1"/>
    <w:rsid w:val="006F580F"/>
    <w:rsid w:val="006F6491"/>
    <w:rsid w:val="006F69D7"/>
    <w:rsid w:val="006F6AC8"/>
    <w:rsid w:val="006F6EA2"/>
    <w:rsid w:val="006F6FFB"/>
    <w:rsid w:val="006F70A8"/>
    <w:rsid w:val="006F716F"/>
    <w:rsid w:val="006F731A"/>
    <w:rsid w:val="006F739C"/>
    <w:rsid w:val="0070093C"/>
    <w:rsid w:val="00700D81"/>
    <w:rsid w:val="0070141C"/>
    <w:rsid w:val="007017AB"/>
    <w:rsid w:val="00701D52"/>
    <w:rsid w:val="007028F5"/>
    <w:rsid w:val="00702E14"/>
    <w:rsid w:val="007036AD"/>
    <w:rsid w:val="00703A78"/>
    <w:rsid w:val="00703C0A"/>
    <w:rsid w:val="00703F62"/>
    <w:rsid w:val="007042AD"/>
    <w:rsid w:val="0070487D"/>
    <w:rsid w:val="00704CE1"/>
    <w:rsid w:val="00704FEA"/>
    <w:rsid w:val="00705132"/>
    <w:rsid w:val="00705285"/>
    <w:rsid w:val="007054C4"/>
    <w:rsid w:val="007058C6"/>
    <w:rsid w:val="00705C58"/>
    <w:rsid w:val="00705F83"/>
    <w:rsid w:val="007060F4"/>
    <w:rsid w:val="007061B0"/>
    <w:rsid w:val="00706284"/>
    <w:rsid w:val="00706853"/>
    <w:rsid w:val="00706BF4"/>
    <w:rsid w:val="0070746E"/>
    <w:rsid w:val="00707836"/>
    <w:rsid w:val="00707DAE"/>
    <w:rsid w:val="00707F39"/>
    <w:rsid w:val="00710152"/>
    <w:rsid w:val="00710159"/>
    <w:rsid w:val="007106F7"/>
    <w:rsid w:val="0071092D"/>
    <w:rsid w:val="00710EB2"/>
    <w:rsid w:val="0071119D"/>
    <w:rsid w:val="00711A5D"/>
    <w:rsid w:val="00711AD1"/>
    <w:rsid w:val="00711C06"/>
    <w:rsid w:val="007125F5"/>
    <w:rsid w:val="00712EB1"/>
    <w:rsid w:val="00713A6D"/>
    <w:rsid w:val="00713F02"/>
    <w:rsid w:val="00714573"/>
    <w:rsid w:val="007145FF"/>
    <w:rsid w:val="00714AD5"/>
    <w:rsid w:val="007150A8"/>
    <w:rsid w:val="00715130"/>
    <w:rsid w:val="00715B2A"/>
    <w:rsid w:val="00715C74"/>
    <w:rsid w:val="00715E26"/>
    <w:rsid w:val="00716134"/>
    <w:rsid w:val="00716EA9"/>
    <w:rsid w:val="00717019"/>
    <w:rsid w:val="00717D37"/>
    <w:rsid w:val="00720D49"/>
    <w:rsid w:val="007218BB"/>
    <w:rsid w:val="00721BC7"/>
    <w:rsid w:val="00722482"/>
    <w:rsid w:val="00722FEC"/>
    <w:rsid w:val="0072305B"/>
    <w:rsid w:val="00723358"/>
    <w:rsid w:val="0072349F"/>
    <w:rsid w:val="007236C9"/>
    <w:rsid w:val="00723FCC"/>
    <w:rsid w:val="00724218"/>
    <w:rsid w:val="007243EA"/>
    <w:rsid w:val="00724444"/>
    <w:rsid w:val="0072469C"/>
    <w:rsid w:val="00724E3B"/>
    <w:rsid w:val="00725378"/>
    <w:rsid w:val="00725DFD"/>
    <w:rsid w:val="00725FD4"/>
    <w:rsid w:val="00726008"/>
    <w:rsid w:val="007263C6"/>
    <w:rsid w:val="007264EC"/>
    <w:rsid w:val="00726669"/>
    <w:rsid w:val="007266C9"/>
    <w:rsid w:val="0072674D"/>
    <w:rsid w:val="00726ABB"/>
    <w:rsid w:val="00726C9A"/>
    <w:rsid w:val="00726FBD"/>
    <w:rsid w:val="00727820"/>
    <w:rsid w:val="007308EF"/>
    <w:rsid w:val="00730F2E"/>
    <w:rsid w:val="00731559"/>
    <w:rsid w:val="007316FC"/>
    <w:rsid w:val="00731914"/>
    <w:rsid w:val="007319E4"/>
    <w:rsid w:val="00731B29"/>
    <w:rsid w:val="0073267D"/>
    <w:rsid w:val="00733036"/>
    <w:rsid w:val="00733B21"/>
    <w:rsid w:val="00734376"/>
    <w:rsid w:val="007346FD"/>
    <w:rsid w:val="007348B7"/>
    <w:rsid w:val="00734AD7"/>
    <w:rsid w:val="0073529E"/>
    <w:rsid w:val="00735AF4"/>
    <w:rsid w:val="00735B3B"/>
    <w:rsid w:val="00735CCC"/>
    <w:rsid w:val="00735D34"/>
    <w:rsid w:val="0073647D"/>
    <w:rsid w:val="007368BA"/>
    <w:rsid w:val="00736EF5"/>
    <w:rsid w:val="007373FA"/>
    <w:rsid w:val="00737402"/>
    <w:rsid w:val="00737F04"/>
    <w:rsid w:val="00740467"/>
    <w:rsid w:val="0074050C"/>
    <w:rsid w:val="00740B74"/>
    <w:rsid w:val="007413B9"/>
    <w:rsid w:val="007415DF"/>
    <w:rsid w:val="007422A1"/>
    <w:rsid w:val="00742A1D"/>
    <w:rsid w:val="007431CD"/>
    <w:rsid w:val="007435D2"/>
    <w:rsid w:val="00743AE2"/>
    <w:rsid w:val="00743DF4"/>
    <w:rsid w:val="00743F53"/>
    <w:rsid w:val="00744E7A"/>
    <w:rsid w:val="00744F43"/>
    <w:rsid w:val="007450F1"/>
    <w:rsid w:val="0074538C"/>
    <w:rsid w:val="0074541C"/>
    <w:rsid w:val="007457BA"/>
    <w:rsid w:val="00746011"/>
    <w:rsid w:val="0074601F"/>
    <w:rsid w:val="007460A3"/>
    <w:rsid w:val="0074624E"/>
    <w:rsid w:val="00746406"/>
    <w:rsid w:val="0074641D"/>
    <w:rsid w:val="00746527"/>
    <w:rsid w:val="00746CBD"/>
    <w:rsid w:val="00746D3F"/>
    <w:rsid w:val="007504D6"/>
    <w:rsid w:val="007504E7"/>
    <w:rsid w:val="00750C90"/>
    <w:rsid w:val="007512BC"/>
    <w:rsid w:val="007512DD"/>
    <w:rsid w:val="00751515"/>
    <w:rsid w:val="00751768"/>
    <w:rsid w:val="00752D84"/>
    <w:rsid w:val="00752EDB"/>
    <w:rsid w:val="00753D28"/>
    <w:rsid w:val="00754409"/>
    <w:rsid w:val="00754483"/>
    <w:rsid w:val="00755235"/>
    <w:rsid w:val="007554B1"/>
    <w:rsid w:val="0075595A"/>
    <w:rsid w:val="00755BCA"/>
    <w:rsid w:val="00755D32"/>
    <w:rsid w:val="00756632"/>
    <w:rsid w:val="00756D3D"/>
    <w:rsid w:val="007574A1"/>
    <w:rsid w:val="007577EF"/>
    <w:rsid w:val="00757DB9"/>
    <w:rsid w:val="007601FB"/>
    <w:rsid w:val="0076046E"/>
    <w:rsid w:val="0076060B"/>
    <w:rsid w:val="0076118B"/>
    <w:rsid w:val="007615B4"/>
    <w:rsid w:val="007623AB"/>
    <w:rsid w:val="00762620"/>
    <w:rsid w:val="007626B7"/>
    <w:rsid w:val="00762B19"/>
    <w:rsid w:val="007631F3"/>
    <w:rsid w:val="0076334E"/>
    <w:rsid w:val="007635F5"/>
    <w:rsid w:val="00763CC4"/>
    <w:rsid w:val="00764A42"/>
    <w:rsid w:val="00764F65"/>
    <w:rsid w:val="00765323"/>
    <w:rsid w:val="00765447"/>
    <w:rsid w:val="00765692"/>
    <w:rsid w:val="007656DB"/>
    <w:rsid w:val="00765C23"/>
    <w:rsid w:val="007678AE"/>
    <w:rsid w:val="00767E1F"/>
    <w:rsid w:val="00767F60"/>
    <w:rsid w:val="00770EE1"/>
    <w:rsid w:val="00770F41"/>
    <w:rsid w:val="007717F5"/>
    <w:rsid w:val="00772CAE"/>
    <w:rsid w:val="00772CBA"/>
    <w:rsid w:val="00773587"/>
    <w:rsid w:val="007739D9"/>
    <w:rsid w:val="00773BE4"/>
    <w:rsid w:val="00773F57"/>
    <w:rsid w:val="00774F63"/>
    <w:rsid w:val="007750D0"/>
    <w:rsid w:val="00775470"/>
    <w:rsid w:val="00775BEC"/>
    <w:rsid w:val="00775C49"/>
    <w:rsid w:val="00775C85"/>
    <w:rsid w:val="00775DC6"/>
    <w:rsid w:val="00776383"/>
    <w:rsid w:val="00776578"/>
    <w:rsid w:val="007766BD"/>
    <w:rsid w:val="00776EFA"/>
    <w:rsid w:val="00776F43"/>
    <w:rsid w:val="007800F4"/>
    <w:rsid w:val="0078066E"/>
    <w:rsid w:val="00780AB1"/>
    <w:rsid w:val="00780B17"/>
    <w:rsid w:val="00780DF0"/>
    <w:rsid w:val="007817A7"/>
    <w:rsid w:val="007820F1"/>
    <w:rsid w:val="0078212B"/>
    <w:rsid w:val="00782311"/>
    <w:rsid w:val="00782396"/>
    <w:rsid w:val="00782B44"/>
    <w:rsid w:val="00782F63"/>
    <w:rsid w:val="00783133"/>
    <w:rsid w:val="00783566"/>
    <w:rsid w:val="007837AF"/>
    <w:rsid w:val="00783820"/>
    <w:rsid w:val="00783AD7"/>
    <w:rsid w:val="00783B55"/>
    <w:rsid w:val="007843F5"/>
    <w:rsid w:val="007848B9"/>
    <w:rsid w:val="007848D6"/>
    <w:rsid w:val="00784DF6"/>
    <w:rsid w:val="00785123"/>
    <w:rsid w:val="00785157"/>
    <w:rsid w:val="007851BF"/>
    <w:rsid w:val="00785232"/>
    <w:rsid w:val="007854C5"/>
    <w:rsid w:val="00786222"/>
    <w:rsid w:val="007862AC"/>
    <w:rsid w:val="00786352"/>
    <w:rsid w:val="00786874"/>
    <w:rsid w:val="00786B55"/>
    <w:rsid w:val="007872B2"/>
    <w:rsid w:val="00787793"/>
    <w:rsid w:val="00787C1F"/>
    <w:rsid w:val="00787E80"/>
    <w:rsid w:val="007909DA"/>
    <w:rsid w:val="00790D1D"/>
    <w:rsid w:val="00790E8A"/>
    <w:rsid w:val="0079123D"/>
    <w:rsid w:val="0079147C"/>
    <w:rsid w:val="007914F9"/>
    <w:rsid w:val="00791DE8"/>
    <w:rsid w:val="007930AA"/>
    <w:rsid w:val="00793263"/>
    <w:rsid w:val="007932AB"/>
    <w:rsid w:val="00793CDA"/>
    <w:rsid w:val="00793D5D"/>
    <w:rsid w:val="00793FEF"/>
    <w:rsid w:val="007941B7"/>
    <w:rsid w:val="007941C4"/>
    <w:rsid w:val="007944C8"/>
    <w:rsid w:val="007961C8"/>
    <w:rsid w:val="007965AA"/>
    <w:rsid w:val="0079675F"/>
    <w:rsid w:val="00796B0B"/>
    <w:rsid w:val="00796BDE"/>
    <w:rsid w:val="007974FC"/>
    <w:rsid w:val="00797A96"/>
    <w:rsid w:val="007A0666"/>
    <w:rsid w:val="007A0ED5"/>
    <w:rsid w:val="007A11C5"/>
    <w:rsid w:val="007A14E5"/>
    <w:rsid w:val="007A1616"/>
    <w:rsid w:val="007A17F5"/>
    <w:rsid w:val="007A181F"/>
    <w:rsid w:val="007A1AEB"/>
    <w:rsid w:val="007A1D12"/>
    <w:rsid w:val="007A216E"/>
    <w:rsid w:val="007A2370"/>
    <w:rsid w:val="007A27DC"/>
    <w:rsid w:val="007A285B"/>
    <w:rsid w:val="007A3152"/>
    <w:rsid w:val="007A3181"/>
    <w:rsid w:val="007A364F"/>
    <w:rsid w:val="007A3ADA"/>
    <w:rsid w:val="007A3DE6"/>
    <w:rsid w:val="007A3F70"/>
    <w:rsid w:val="007A40CE"/>
    <w:rsid w:val="007A40D4"/>
    <w:rsid w:val="007A4AC5"/>
    <w:rsid w:val="007A4BAF"/>
    <w:rsid w:val="007A4D7E"/>
    <w:rsid w:val="007A4D86"/>
    <w:rsid w:val="007A6B33"/>
    <w:rsid w:val="007A6F8B"/>
    <w:rsid w:val="007A71E4"/>
    <w:rsid w:val="007A728E"/>
    <w:rsid w:val="007A732C"/>
    <w:rsid w:val="007A7476"/>
    <w:rsid w:val="007A7E93"/>
    <w:rsid w:val="007B0186"/>
    <w:rsid w:val="007B04E5"/>
    <w:rsid w:val="007B083E"/>
    <w:rsid w:val="007B186C"/>
    <w:rsid w:val="007B1B2B"/>
    <w:rsid w:val="007B2882"/>
    <w:rsid w:val="007B2FD2"/>
    <w:rsid w:val="007B33BB"/>
    <w:rsid w:val="007B48AE"/>
    <w:rsid w:val="007B4ED9"/>
    <w:rsid w:val="007B4F7F"/>
    <w:rsid w:val="007B5921"/>
    <w:rsid w:val="007B6103"/>
    <w:rsid w:val="007B6139"/>
    <w:rsid w:val="007B6270"/>
    <w:rsid w:val="007B65AF"/>
    <w:rsid w:val="007B6B0F"/>
    <w:rsid w:val="007B7257"/>
    <w:rsid w:val="007B7AEB"/>
    <w:rsid w:val="007B7B6B"/>
    <w:rsid w:val="007B7BBA"/>
    <w:rsid w:val="007B7C9E"/>
    <w:rsid w:val="007C0795"/>
    <w:rsid w:val="007C0892"/>
    <w:rsid w:val="007C0A7D"/>
    <w:rsid w:val="007C1017"/>
    <w:rsid w:val="007C1628"/>
    <w:rsid w:val="007C1696"/>
    <w:rsid w:val="007C1AA5"/>
    <w:rsid w:val="007C1CDB"/>
    <w:rsid w:val="007C2BBC"/>
    <w:rsid w:val="007C309E"/>
    <w:rsid w:val="007C3545"/>
    <w:rsid w:val="007C3782"/>
    <w:rsid w:val="007C3893"/>
    <w:rsid w:val="007C3DA1"/>
    <w:rsid w:val="007C3ED0"/>
    <w:rsid w:val="007C43BF"/>
    <w:rsid w:val="007C45D0"/>
    <w:rsid w:val="007C48C4"/>
    <w:rsid w:val="007C49DD"/>
    <w:rsid w:val="007C5971"/>
    <w:rsid w:val="007C59E2"/>
    <w:rsid w:val="007C5AB3"/>
    <w:rsid w:val="007C610B"/>
    <w:rsid w:val="007C6936"/>
    <w:rsid w:val="007C7170"/>
    <w:rsid w:val="007D0ABB"/>
    <w:rsid w:val="007D0BCE"/>
    <w:rsid w:val="007D0BE5"/>
    <w:rsid w:val="007D0EC6"/>
    <w:rsid w:val="007D1B42"/>
    <w:rsid w:val="007D2472"/>
    <w:rsid w:val="007D2B69"/>
    <w:rsid w:val="007D2CCC"/>
    <w:rsid w:val="007D3113"/>
    <w:rsid w:val="007D35B1"/>
    <w:rsid w:val="007D3892"/>
    <w:rsid w:val="007D3CBD"/>
    <w:rsid w:val="007D3D7D"/>
    <w:rsid w:val="007D402C"/>
    <w:rsid w:val="007D5485"/>
    <w:rsid w:val="007D5A43"/>
    <w:rsid w:val="007D62F6"/>
    <w:rsid w:val="007D6900"/>
    <w:rsid w:val="007D6A3D"/>
    <w:rsid w:val="007D7574"/>
    <w:rsid w:val="007E00FB"/>
    <w:rsid w:val="007E0335"/>
    <w:rsid w:val="007E055A"/>
    <w:rsid w:val="007E09DF"/>
    <w:rsid w:val="007E154D"/>
    <w:rsid w:val="007E166E"/>
    <w:rsid w:val="007E17CC"/>
    <w:rsid w:val="007E1FF8"/>
    <w:rsid w:val="007E23DE"/>
    <w:rsid w:val="007E291D"/>
    <w:rsid w:val="007E2E07"/>
    <w:rsid w:val="007E3223"/>
    <w:rsid w:val="007E371C"/>
    <w:rsid w:val="007E407F"/>
    <w:rsid w:val="007E42DC"/>
    <w:rsid w:val="007E477C"/>
    <w:rsid w:val="007E525B"/>
    <w:rsid w:val="007E58D6"/>
    <w:rsid w:val="007E5A80"/>
    <w:rsid w:val="007E5D62"/>
    <w:rsid w:val="007E6638"/>
    <w:rsid w:val="007E681F"/>
    <w:rsid w:val="007E6CC2"/>
    <w:rsid w:val="007E738F"/>
    <w:rsid w:val="007E7B34"/>
    <w:rsid w:val="007E7DBC"/>
    <w:rsid w:val="007E7F47"/>
    <w:rsid w:val="007F086A"/>
    <w:rsid w:val="007F0B4A"/>
    <w:rsid w:val="007F0B9A"/>
    <w:rsid w:val="007F10A7"/>
    <w:rsid w:val="007F10BF"/>
    <w:rsid w:val="007F1849"/>
    <w:rsid w:val="007F2680"/>
    <w:rsid w:val="007F2F2F"/>
    <w:rsid w:val="007F3015"/>
    <w:rsid w:val="007F3FF3"/>
    <w:rsid w:val="007F43BC"/>
    <w:rsid w:val="007F4480"/>
    <w:rsid w:val="007F4A7E"/>
    <w:rsid w:val="007F54B9"/>
    <w:rsid w:val="007F54F1"/>
    <w:rsid w:val="007F5663"/>
    <w:rsid w:val="007F5C5C"/>
    <w:rsid w:val="007F69C5"/>
    <w:rsid w:val="007F6EF4"/>
    <w:rsid w:val="007F77EC"/>
    <w:rsid w:val="007F784B"/>
    <w:rsid w:val="007F7E38"/>
    <w:rsid w:val="007F7E5C"/>
    <w:rsid w:val="00801575"/>
    <w:rsid w:val="008016ED"/>
    <w:rsid w:val="0080171D"/>
    <w:rsid w:val="0080194B"/>
    <w:rsid w:val="00801B59"/>
    <w:rsid w:val="00801E21"/>
    <w:rsid w:val="00801E7A"/>
    <w:rsid w:val="0080211A"/>
    <w:rsid w:val="00802143"/>
    <w:rsid w:val="0080268C"/>
    <w:rsid w:val="008038A0"/>
    <w:rsid w:val="00803A0C"/>
    <w:rsid w:val="00804524"/>
    <w:rsid w:val="0080468C"/>
    <w:rsid w:val="008049AD"/>
    <w:rsid w:val="00804FC4"/>
    <w:rsid w:val="00805046"/>
    <w:rsid w:val="00805105"/>
    <w:rsid w:val="0080534F"/>
    <w:rsid w:val="00805433"/>
    <w:rsid w:val="008055C9"/>
    <w:rsid w:val="00805B2B"/>
    <w:rsid w:val="00805C7A"/>
    <w:rsid w:val="00805CB4"/>
    <w:rsid w:val="008067A7"/>
    <w:rsid w:val="0080681D"/>
    <w:rsid w:val="008069AF"/>
    <w:rsid w:val="00806A76"/>
    <w:rsid w:val="00806D0A"/>
    <w:rsid w:val="00806D78"/>
    <w:rsid w:val="00807151"/>
    <w:rsid w:val="0080797C"/>
    <w:rsid w:val="008079F4"/>
    <w:rsid w:val="00807B7A"/>
    <w:rsid w:val="00807FCD"/>
    <w:rsid w:val="008100B5"/>
    <w:rsid w:val="00810210"/>
    <w:rsid w:val="00810CFE"/>
    <w:rsid w:val="00810F0E"/>
    <w:rsid w:val="00810FB4"/>
    <w:rsid w:val="00811C9D"/>
    <w:rsid w:val="0081238D"/>
    <w:rsid w:val="008124E6"/>
    <w:rsid w:val="0081253A"/>
    <w:rsid w:val="008125FD"/>
    <w:rsid w:val="00813350"/>
    <w:rsid w:val="00813473"/>
    <w:rsid w:val="008134E1"/>
    <w:rsid w:val="008135C5"/>
    <w:rsid w:val="0081383D"/>
    <w:rsid w:val="0081419F"/>
    <w:rsid w:val="008142D3"/>
    <w:rsid w:val="0081451A"/>
    <w:rsid w:val="00814AEB"/>
    <w:rsid w:val="0081560B"/>
    <w:rsid w:val="008156E3"/>
    <w:rsid w:val="00816025"/>
    <w:rsid w:val="00816208"/>
    <w:rsid w:val="008166CE"/>
    <w:rsid w:val="00816C76"/>
    <w:rsid w:val="00816C80"/>
    <w:rsid w:val="00817768"/>
    <w:rsid w:val="008177E1"/>
    <w:rsid w:val="0081780B"/>
    <w:rsid w:val="00820707"/>
    <w:rsid w:val="00820FD6"/>
    <w:rsid w:val="00821666"/>
    <w:rsid w:val="008218BF"/>
    <w:rsid w:val="008219BA"/>
    <w:rsid w:val="0082273B"/>
    <w:rsid w:val="00822858"/>
    <w:rsid w:val="00823167"/>
    <w:rsid w:val="00823403"/>
    <w:rsid w:val="00823882"/>
    <w:rsid w:val="00824669"/>
    <w:rsid w:val="008256D8"/>
    <w:rsid w:val="008258BF"/>
    <w:rsid w:val="008268E2"/>
    <w:rsid w:val="00826A80"/>
    <w:rsid w:val="00827663"/>
    <w:rsid w:val="0083057B"/>
    <w:rsid w:val="00830FD4"/>
    <w:rsid w:val="00831286"/>
    <w:rsid w:val="0083141B"/>
    <w:rsid w:val="00832850"/>
    <w:rsid w:val="00832FC4"/>
    <w:rsid w:val="00833012"/>
    <w:rsid w:val="008333ED"/>
    <w:rsid w:val="00833465"/>
    <w:rsid w:val="0083399F"/>
    <w:rsid w:val="008339E2"/>
    <w:rsid w:val="0083447B"/>
    <w:rsid w:val="0083477D"/>
    <w:rsid w:val="00835348"/>
    <w:rsid w:val="008358E2"/>
    <w:rsid w:val="00835D34"/>
    <w:rsid w:val="00836232"/>
    <w:rsid w:val="00836561"/>
    <w:rsid w:val="0083681D"/>
    <w:rsid w:val="0083694B"/>
    <w:rsid w:val="00836B35"/>
    <w:rsid w:val="008374CA"/>
    <w:rsid w:val="008377B3"/>
    <w:rsid w:val="00837C9E"/>
    <w:rsid w:val="00837F31"/>
    <w:rsid w:val="008401CD"/>
    <w:rsid w:val="00840325"/>
    <w:rsid w:val="008406BA"/>
    <w:rsid w:val="00840D71"/>
    <w:rsid w:val="008412B1"/>
    <w:rsid w:val="0084141C"/>
    <w:rsid w:val="00841BCD"/>
    <w:rsid w:val="00841EBE"/>
    <w:rsid w:val="00842127"/>
    <w:rsid w:val="00842420"/>
    <w:rsid w:val="00843DA2"/>
    <w:rsid w:val="00844103"/>
    <w:rsid w:val="00845963"/>
    <w:rsid w:val="00845A13"/>
    <w:rsid w:val="00845F9D"/>
    <w:rsid w:val="00846434"/>
    <w:rsid w:val="00846C7B"/>
    <w:rsid w:val="00846C95"/>
    <w:rsid w:val="00847264"/>
    <w:rsid w:val="0084740F"/>
    <w:rsid w:val="008476A6"/>
    <w:rsid w:val="008479DC"/>
    <w:rsid w:val="00847C13"/>
    <w:rsid w:val="00850728"/>
    <w:rsid w:val="0085099B"/>
    <w:rsid w:val="00850A4F"/>
    <w:rsid w:val="00850AD3"/>
    <w:rsid w:val="00850DAC"/>
    <w:rsid w:val="00850F6A"/>
    <w:rsid w:val="00851A8E"/>
    <w:rsid w:val="0085225F"/>
    <w:rsid w:val="00852272"/>
    <w:rsid w:val="00853082"/>
    <w:rsid w:val="00853270"/>
    <w:rsid w:val="0085365B"/>
    <w:rsid w:val="00854C8B"/>
    <w:rsid w:val="008550FA"/>
    <w:rsid w:val="00855C98"/>
    <w:rsid w:val="00855DC0"/>
    <w:rsid w:val="008569E4"/>
    <w:rsid w:val="008569F0"/>
    <w:rsid w:val="00856A09"/>
    <w:rsid w:val="00856F03"/>
    <w:rsid w:val="00857548"/>
    <w:rsid w:val="00857CD5"/>
    <w:rsid w:val="00857D80"/>
    <w:rsid w:val="00860734"/>
    <w:rsid w:val="008607C5"/>
    <w:rsid w:val="008608DC"/>
    <w:rsid w:val="00860911"/>
    <w:rsid w:val="00862A73"/>
    <w:rsid w:val="00862B5E"/>
    <w:rsid w:val="00863510"/>
    <w:rsid w:val="00863ECE"/>
    <w:rsid w:val="00863EFD"/>
    <w:rsid w:val="00863F13"/>
    <w:rsid w:val="00864010"/>
    <w:rsid w:val="00864691"/>
    <w:rsid w:val="00864969"/>
    <w:rsid w:val="00864C06"/>
    <w:rsid w:val="00864F2E"/>
    <w:rsid w:val="00864F50"/>
    <w:rsid w:val="00864F7B"/>
    <w:rsid w:val="0086548C"/>
    <w:rsid w:val="00865631"/>
    <w:rsid w:val="0086568E"/>
    <w:rsid w:val="00865DD4"/>
    <w:rsid w:val="00865EBD"/>
    <w:rsid w:val="00865EDE"/>
    <w:rsid w:val="00866018"/>
    <w:rsid w:val="008662CA"/>
    <w:rsid w:val="0086643B"/>
    <w:rsid w:val="00866AE1"/>
    <w:rsid w:val="00870183"/>
    <w:rsid w:val="0087025B"/>
    <w:rsid w:val="00870D96"/>
    <w:rsid w:val="00870E87"/>
    <w:rsid w:val="0087100B"/>
    <w:rsid w:val="00871095"/>
    <w:rsid w:val="00871193"/>
    <w:rsid w:val="00872263"/>
    <w:rsid w:val="00872286"/>
    <w:rsid w:val="00872909"/>
    <w:rsid w:val="00872BC7"/>
    <w:rsid w:val="00873325"/>
    <w:rsid w:val="00873610"/>
    <w:rsid w:val="00873851"/>
    <w:rsid w:val="00873908"/>
    <w:rsid w:val="00873AFC"/>
    <w:rsid w:val="00873FAD"/>
    <w:rsid w:val="008741A4"/>
    <w:rsid w:val="008761B4"/>
    <w:rsid w:val="008764E9"/>
    <w:rsid w:val="00876568"/>
    <w:rsid w:val="008765E2"/>
    <w:rsid w:val="00876BBA"/>
    <w:rsid w:val="00876D75"/>
    <w:rsid w:val="00876DB1"/>
    <w:rsid w:val="00876EAF"/>
    <w:rsid w:val="0087726E"/>
    <w:rsid w:val="00877291"/>
    <w:rsid w:val="0088003F"/>
    <w:rsid w:val="008802CC"/>
    <w:rsid w:val="008806F2"/>
    <w:rsid w:val="008808D3"/>
    <w:rsid w:val="00880C3A"/>
    <w:rsid w:val="00880D5B"/>
    <w:rsid w:val="00881227"/>
    <w:rsid w:val="008813A1"/>
    <w:rsid w:val="00881609"/>
    <w:rsid w:val="00882518"/>
    <w:rsid w:val="008825D6"/>
    <w:rsid w:val="008826C1"/>
    <w:rsid w:val="008828EA"/>
    <w:rsid w:val="00882AFD"/>
    <w:rsid w:val="008835CB"/>
    <w:rsid w:val="00883DFD"/>
    <w:rsid w:val="00884A97"/>
    <w:rsid w:val="00884E1C"/>
    <w:rsid w:val="008853CF"/>
    <w:rsid w:val="00885703"/>
    <w:rsid w:val="00885D3D"/>
    <w:rsid w:val="00886551"/>
    <w:rsid w:val="008869A9"/>
    <w:rsid w:val="00887100"/>
    <w:rsid w:val="00887F17"/>
    <w:rsid w:val="008903E5"/>
    <w:rsid w:val="0089047D"/>
    <w:rsid w:val="00890D0C"/>
    <w:rsid w:val="0089132B"/>
    <w:rsid w:val="00891492"/>
    <w:rsid w:val="00891497"/>
    <w:rsid w:val="00891909"/>
    <w:rsid w:val="00891999"/>
    <w:rsid w:val="00891CE9"/>
    <w:rsid w:val="0089210C"/>
    <w:rsid w:val="00892BC0"/>
    <w:rsid w:val="00892CC9"/>
    <w:rsid w:val="0089314B"/>
    <w:rsid w:val="00893D2E"/>
    <w:rsid w:val="00894AF2"/>
    <w:rsid w:val="00894DC2"/>
    <w:rsid w:val="008959F7"/>
    <w:rsid w:val="00895FA3"/>
    <w:rsid w:val="00896307"/>
    <w:rsid w:val="008965F3"/>
    <w:rsid w:val="00897502"/>
    <w:rsid w:val="008975C5"/>
    <w:rsid w:val="008975D5"/>
    <w:rsid w:val="008976D8"/>
    <w:rsid w:val="008A0852"/>
    <w:rsid w:val="008A0CE1"/>
    <w:rsid w:val="008A12B0"/>
    <w:rsid w:val="008A1B9B"/>
    <w:rsid w:val="008A1BF7"/>
    <w:rsid w:val="008A1D4C"/>
    <w:rsid w:val="008A2285"/>
    <w:rsid w:val="008A2E45"/>
    <w:rsid w:val="008A2F2C"/>
    <w:rsid w:val="008A342F"/>
    <w:rsid w:val="008A371B"/>
    <w:rsid w:val="008A3BE6"/>
    <w:rsid w:val="008A4B43"/>
    <w:rsid w:val="008A4F3C"/>
    <w:rsid w:val="008A51EA"/>
    <w:rsid w:val="008A5390"/>
    <w:rsid w:val="008A56F3"/>
    <w:rsid w:val="008A57C0"/>
    <w:rsid w:val="008A5B0E"/>
    <w:rsid w:val="008A69A0"/>
    <w:rsid w:val="008A6A96"/>
    <w:rsid w:val="008A6D28"/>
    <w:rsid w:val="008A7813"/>
    <w:rsid w:val="008A7A4E"/>
    <w:rsid w:val="008B0587"/>
    <w:rsid w:val="008B05B8"/>
    <w:rsid w:val="008B0961"/>
    <w:rsid w:val="008B142E"/>
    <w:rsid w:val="008B19A6"/>
    <w:rsid w:val="008B1AFB"/>
    <w:rsid w:val="008B1C6B"/>
    <w:rsid w:val="008B1EFB"/>
    <w:rsid w:val="008B1F88"/>
    <w:rsid w:val="008B2964"/>
    <w:rsid w:val="008B2A10"/>
    <w:rsid w:val="008B2EB2"/>
    <w:rsid w:val="008B35DF"/>
    <w:rsid w:val="008B37E3"/>
    <w:rsid w:val="008B3BDA"/>
    <w:rsid w:val="008B3D6F"/>
    <w:rsid w:val="008B437A"/>
    <w:rsid w:val="008B4E2E"/>
    <w:rsid w:val="008B544F"/>
    <w:rsid w:val="008B5A50"/>
    <w:rsid w:val="008B5BE0"/>
    <w:rsid w:val="008B5D77"/>
    <w:rsid w:val="008B607E"/>
    <w:rsid w:val="008B629F"/>
    <w:rsid w:val="008B6399"/>
    <w:rsid w:val="008B6433"/>
    <w:rsid w:val="008B65FB"/>
    <w:rsid w:val="008B6E9F"/>
    <w:rsid w:val="008B79C7"/>
    <w:rsid w:val="008B7C88"/>
    <w:rsid w:val="008C0D20"/>
    <w:rsid w:val="008C104B"/>
    <w:rsid w:val="008C14E6"/>
    <w:rsid w:val="008C1619"/>
    <w:rsid w:val="008C2279"/>
    <w:rsid w:val="008C2287"/>
    <w:rsid w:val="008C23AF"/>
    <w:rsid w:val="008C2844"/>
    <w:rsid w:val="008C2A25"/>
    <w:rsid w:val="008C39F7"/>
    <w:rsid w:val="008C418A"/>
    <w:rsid w:val="008C41A4"/>
    <w:rsid w:val="008C4856"/>
    <w:rsid w:val="008C49F3"/>
    <w:rsid w:val="008C50E5"/>
    <w:rsid w:val="008C5227"/>
    <w:rsid w:val="008C55DE"/>
    <w:rsid w:val="008C5AB4"/>
    <w:rsid w:val="008C5B8E"/>
    <w:rsid w:val="008C5CB0"/>
    <w:rsid w:val="008C5FF4"/>
    <w:rsid w:val="008C653D"/>
    <w:rsid w:val="008C6B01"/>
    <w:rsid w:val="008C6B53"/>
    <w:rsid w:val="008C6FC6"/>
    <w:rsid w:val="008C71AE"/>
    <w:rsid w:val="008C71CB"/>
    <w:rsid w:val="008C73B5"/>
    <w:rsid w:val="008D04B8"/>
    <w:rsid w:val="008D0A7A"/>
    <w:rsid w:val="008D0DEB"/>
    <w:rsid w:val="008D0ED3"/>
    <w:rsid w:val="008D23AF"/>
    <w:rsid w:val="008D3120"/>
    <w:rsid w:val="008D3160"/>
    <w:rsid w:val="008D3765"/>
    <w:rsid w:val="008D3A68"/>
    <w:rsid w:val="008D3B90"/>
    <w:rsid w:val="008D4150"/>
    <w:rsid w:val="008D43CF"/>
    <w:rsid w:val="008D4DC1"/>
    <w:rsid w:val="008D4F45"/>
    <w:rsid w:val="008D515B"/>
    <w:rsid w:val="008D5344"/>
    <w:rsid w:val="008D55F7"/>
    <w:rsid w:val="008D5E4D"/>
    <w:rsid w:val="008D60E9"/>
    <w:rsid w:val="008D637A"/>
    <w:rsid w:val="008E080B"/>
    <w:rsid w:val="008E11E9"/>
    <w:rsid w:val="008E2272"/>
    <w:rsid w:val="008E25C8"/>
    <w:rsid w:val="008E2860"/>
    <w:rsid w:val="008E2B88"/>
    <w:rsid w:val="008E2ECD"/>
    <w:rsid w:val="008E3818"/>
    <w:rsid w:val="008E3D96"/>
    <w:rsid w:val="008E4C9E"/>
    <w:rsid w:val="008E4FE4"/>
    <w:rsid w:val="008E50B2"/>
    <w:rsid w:val="008E541C"/>
    <w:rsid w:val="008E5EFC"/>
    <w:rsid w:val="008E6208"/>
    <w:rsid w:val="008E67EE"/>
    <w:rsid w:val="008E6BDE"/>
    <w:rsid w:val="008E6E33"/>
    <w:rsid w:val="008E6F73"/>
    <w:rsid w:val="008E70F2"/>
    <w:rsid w:val="008E72CC"/>
    <w:rsid w:val="008E7408"/>
    <w:rsid w:val="008E75C5"/>
    <w:rsid w:val="008F075F"/>
    <w:rsid w:val="008F110B"/>
    <w:rsid w:val="008F1205"/>
    <w:rsid w:val="008F131B"/>
    <w:rsid w:val="008F1F41"/>
    <w:rsid w:val="008F262F"/>
    <w:rsid w:val="008F2865"/>
    <w:rsid w:val="008F326A"/>
    <w:rsid w:val="008F3535"/>
    <w:rsid w:val="008F3BEF"/>
    <w:rsid w:val="008F3C8B"/>
    <w:rsid w:val="008F4B44"/>
    <w:rsid w:val="008F4CD7"/>
    <w:rsid w:val="008F5441"/>
    <w:rsid w:val="008F58AB"/>
    <w:rsid w:val="008F5C76"/>
    <w:rsid w:val="008F5CA0"/>
    <w:rsid w:val="008F5D61"/>
    <w:rsid w:val="008F6102"/>
    <w:rsid w:val="008F61B8"/>
    <w:rsid w:val="008F6BBA"/>
    <w:rsid w:val="008F6C2B"/>
    <w:rsid w:val="008F6F62"/>
    <w:rsid w:val="008F7461"/>
    <w:rsid w:val="008F7605"/>
    <w:rsid w:val="00900793"/>
    <w:rsid w:val="0090091A"/>
    <w:rsid w:val="00900AFD"/>
    <w:rsid w:val="00901770"/>
    <w:rsid w:val="00901BF5"/>
    <w:rsid w:val="009022C0"/>
    <w:rsid w:val="00902DA8"/>
    <w:rsid w:val="00903414"/>
    <w:rsid w:val="00903589"/>
    <w:rsid w:val="00903A01"/>
    <w:rsid w:val="009042BD"/>
    <w:rsid w:val="00904B81"/>
    <w:rsid w:val="00904F80"/>
    <w:rsid w:val="00904FE4"/>
    <w:rsid w:val="0090526F"/>
    <w:rsid w:val="0090583B"/>
    <w:rsid w:val="00905AB3"/>
    <w:rsid w:val="00906394"/>
    <w:rsid w:val="00906457"/>
    <w:rsid w:val="009065E0"/>
    <w:rsid w:val="00906A2C"/>
    <w:rsid w:val="00906C65"/>
    <w:rsid w:val="00910566"/>
    <w:rsid w:val="00910970"/>
    <w:rsid w:val="00910A15"/>
    <w:rsid w:val="00911575"/>
    <w:rsid w:val="009116E7"/>
    <w:rsid w:val="00912964"/>
    <w:rsid w:val="00912AF9"/>
    <w:rsid w:val="00912E68"/>
    <w:rsid w:val="009131FA"/>
    <w:rsid w:val="00913DF0"/>
    <w:rsid w:val="00914044"/>
    <w:rsid w:val="0091450F"/>
    <w:rsid w:val="009152D0"/>
    <w:rsid w:val="009158D9"/>
    <w:rsid w:val="00915F77"/>
    <w:rsid w:val="00916BCE"/>
    <w:rsid w:val="009170F8"/>
    <w:rsid w:val="00917114"/>
    <w:rsid w:val="009172DE"/>
    <w:rsid w:val="009173DA"/>
    <w:rsid w:val="0091745F"/>
    <w:rsid w:val="009174EB"/>
    <w:rsid w:val="00917C93"/>
    <w:rsid w:val="00920636"/>
    <w:rsid w:val="0092098B"/>
    <w:rsid w:val="0092158C"/>
    <w:rsid w:val="00921858"/>
    <w:rsid w:val="009218BB"/>
    <w:rsid w:val="00921BC6"/>
    <w:rsid w:val="00921D9A"/>
    <w:rsid w:val="00921E48"/>
    <w:rsid w:val="00921E91"/>
    <w:rsid w:val="009221B1"/>
    <w:rsid w:val="00922343"/>
    <w:rsid w:val="00922898"/>
    <w:rsid w:val="00922D43"/>
    <w:rsid w:val="00922DAE"/>
    <w:rsid w:val="00922E64"/>
    <w:rsid w:val="00922E98"/>
    <w:rsid w:val="009230E5"/>
    <w:rsid w:val="009231E1"/>
    <w:rsid w:val="009235E4"/>
    <w:rsid w:val="009237CA"/>
    <w:rsid w:val="00924428"/>
    <w:rsid w:val="0092454D"/>
    <w:rsid w:val="00924CCA"/>
    <w:rsid w:val="00925074"/>
    <w:rsid w:val="00926123"/>
    <w:rsid w:val="0092612F"/>
    <w:rsid w:val="0092635A"/>
    <w:rsid w:val="00926FA7"/>
    <w:rsid w:val="00927029"/>
    <w:rsid w:val="00927188"/>
    <w:rsid w:val="00927441"/>
    <w:rsid w:val="00927740"/>
    <w:rsid w:val="00930257"/>
    <w:rsid w:val="0093030F"/>
    <w:rsid w:val="00930780"/>
    <w:rsid w:val="009307AE"/>
    <w:rsid w:val="009308B8"/>
    <w:rsid w:val="009310A0"/>
    <w:rsid w:val="00932065"/>
    <w:rsid w:val="00932324"/>
    <w:rsid w:val="00932755"/>
    <w:rsid w:val="00933110"/>
    <w:rsid w:val="00933EE5"/>
    <w:rsid w:val="00934376"/>
    <w:rsid w:val="009345A2"/>
    <w:rsid w:val="00935778"/>
    <w:rsid w:val="00935D95"/>
    <w:rsid w:val="00936095"/>
    <w:rsid w:val="00936159"/>
    <w:rsid w:val="0093745F"/>
    <w:rsid w:val="00937D53"/>
    <w:rsid w:val="00940641"/>
    <w:rsid w:val="0094065C"/>
    <w:rsid w:val="009409DB"/>
    <w:rsid w:val="00940ABF"/>
    <w:rsid w:val="00940EC0"/>
    <w:rsid w:val="00941259"/>
    <w:rsid w:val="009413BE"/>
    <w:rsid w:val="00942392"/>
    <w:rsid w:val="009430B3"/>
    <w:rsid w:val="009436E3"/>
    <w:rsid w:val="00943B03"/>
    <w:rsid w:val="00943D20"/>
    <w:rsid w:val="009445E8"/>
    <w:rsid w:val="00944E55"/>
    <w:rsid w:val="0094578D"/>
    <w:rsid w:val="00945A4E"/>
    <w:rsid w:val="00945AFD"/>
    <w:rsid w:val="00945DB9"/>
    <w:rsid w:val="00946338"/>
    <w:rsid w:val="009467F1"/>
    <w:rsid w:val="00946A47"/>
    <w:rsid w:val="00946B66"/>
    <w:rsid w:val="0094792A"/>
    <w:rsid w:val="00947CE6"/>
    <w:rsid w:val="00950E3D"/>
    <w:rsid w:val="00951656"/>
    <w:rsid w:val="00951884"/>
    <w:rsid w:val="00951997"/>
    <w:rsid w:val="009519C7"/>
    <w:rsid w:val="009522B7"/>
    <w:rsid w:val="00952DF6"/>
    <w:rsid w:val="00953D1D"/>
    <w:rsid w:val="0095421F"/>
    <w:rsid w:val="00954939"/>
    <w:rsid w:val="009556FA"/>
    <w:rsid w:val="009560A2"/>
    <w:rsid w:val="00956183"/>
    <w:rsid w:val="009561A0"/>
    <w:rsid w:val="009565E7"/>
    <w:rsid w:val="0095697A"/>
    <w:rsid w:val="009574CA"/>
    <w:rsid w:val="009576AD"/>
    <w:rsid w:val="009576CE"/>
    <w:rsid w:val="0095788F"/>
    <w:rsid w:val="009579F6"/>
    <w:rsid w:val="00957CC0"/>
    <w:rsid w:val="00957DCA"/>
    <w:rsid w:val="00960D20"/>
    <w:rsid w:val="00960F1C"/>
    <w:rsid w:val="00961200"/>
    <w:rsid w:val="00961866"/>
    <w:rsid w:val="00961D8B"/>
    <w:rsid w:val="00962792"/>
    <w:rsid w:val="00962B40"/>
    <w:rsid w:val="00962E70"/>
    <w:rsid w:val="0096310A"/>
    <w:rsid w:val="009638D2"/>
    <w:rsid w:val="00963A23"/>
    <w:rsid w:val="0096407C"/>
    <w:rsid w:val="00964699"/>
    <w:rsid w:val="00964758"/>
    <w:rsid w:val="009649AC"/>
    <w:rsid w:val="00964AD1"/>
    <w:rsid w:val="00964AD5"/>
    <w:rsid w:val="0096527C"/>
    <w:rsid w:val="009654B4"/>
    <w:rsid w:val="009658A5"/>
    <w:rsid w:val="00966668"/>
    <w:rsid w:val="00966BDB"/>
    <w:rsid w:val="00966C6E"/>
    <w:rsid w:val="00966CD2"/>
    <w:rsid w:val="00966DED"/>
    <w:rsid w:val="0096706E"/>
    <w:rsid w:val="0096739B"/>
    <w:rsid w:val="009673DD"/>
    <w:rsid w:val="0096754C"/>
    <w:rsid w:val="0096760F"/>
    <w:rsid w:val="00967D38"/>
    <w:rsid w:val="00970176"/>
    <w:rsid w:val="009704BF"/>
    <w:rsid w:val="0097053F"/>
    <w:rsid w:val="0097078F"/>
    <w:rsid w:val="00970A04"/>
    <w:rsid w:val="00970D1B"/>
    <w:rsid w:val="00970F8E"/>
    <w:rsid w:val="009710D3"/>
    <w:rsid w:val="00971224"/>
    <w:rsid w:val="00971406"/>
    <w:rsid w:val="00971849"/>
    <w:rsid w:val="0097184D"/>
    <w:rsid w:val="009719EB"/>
    <w:rsid w:val="00972860"/>
    <w:rsid w:val="00972870"/>
    <w:rsid w:val="009728C0"/>
    <w:rsid w:val="00972A70"/>
    <w:rsid w:val="00972D65"/>
    <w:rsid w:val="00973609"/>
    <w:rsid w:val="00973A63"/>
    <w:rsid w:val="00973FA2"/>
    <w:rsid w:val="00974786"/>
    <w:rsid w:val="009748A7"/>
    <w:rsid w:val="00974925"/>
    <w:rsid w:val="009752E2"/>
    <w:rsid w:val="0097553D"/>
    <w:rsid w:val="00975561"/>
    <w:rsid w:val="00977152"/>
    <w:rsid w:val="009777D2"/>
    <w:rsid w:val="00977A3D"/>
    <w:rsid w:val="00977E1D"/>
    <w:rsid w:val="00977FA3"/>
    <w:rsid w:val="00980840"/>
    <w:rsid w:val="0098101C"/>
    <w:rsid w:val="0098111D"/>
    <w:rsid w:val="009814BF"/>
    <w:rsid w:val="00981A7D"/>
    <w:rsid w:val="00982294"/>
    <w:rsid w:val="009838CA"/>
    <w:rsid w:val="00983A1D"/>
    <w:rsid w:val="00983BDA"/>
    <w:rsid w:val="00984809"/>
    <w:rsid w:val="00985183"/>
    <w:rsid w:val="0098538A"/>
    <w:rsid w:val="0098563C"/>
    <w:rsid w:val="00985677"/>
    <w:rsid w:val="00985853"/>
    <w:rsid w:val="009858F3"/>
    <w:rsid w:val="00985AB9"/>
    <w:rsid w:val="009860B2"/>
    <w:rsid w:val="00986604"/>
    <w:rsid w:val="00986C8D"/>
    <w:rsid w:val="009875BD"/>
    <w:rsid w:val="00987657"/>
    <w:rsid w:val="00987D51"/>
    <w:rsid w:val="009902FA"/>
    <w:rsid w:val="0099085B"/>
    <w:rsid w:val="00990CA4"/>
    <w:rsid w:val="00990D09"/>
    <w:rsid w:val="00991802"/>
    <w:rsid w:val="00992054"/>
    <w:rsid w:val="00992779"/>
    <w:rsid w:val="00992815"/>
    <w:rsid w:val="00992CB7"/>
    <w:rsid w:val="00993BAE"/>
    <w:rsid w:val="00993C55"/>
    <w:rsid w:val="00993C6B"/>
    <w:rsid w:val="0099411D"/>
    <w:rsid w:val="00994D60"/>
    <w:rsid w:val="0099562F"/>
    <w:rsid w:val="00995C2E"/>
    <w:rsid w:val="00995ED8"/>
    <w:rsid w:val="0099604A"/>
    <w:rsid w:val="009964CE"/>
    <w:rsid w:val="00996728"/>
    <w:rsid w:val="00996772"/>
    <w:rsid w:val="00996814"/>
    <w:rsid w:val="00996AFB"/>
    <w:rsid w:val="0099765C"/>
    <w:rsid w:val="00997AEF"/>
    <w:rsid w:val="00997C6C"/>
    <w:rsid w:val="00997CD1"/>
    <w:rsid w:val="00997D08"/>
    <w:rsid w:val="00997E8C"/>
    <w:rsid w:val="009A08A6"/>
    <w:rsid w:val="009A0C30"/>
    <w:rsid w:val="009A1119"/>
    <w:rsid w:val="009A1B86"/>
    <w:rsid w:val="009A23E7"/>
    <w:rsid w:val="009A2A40"/>
    <w:rsid w:val="009A2BF1"/>
    <w:rsid w:val="009A2FE0"/>
    <w:rsid w:val="009A3075"/>
    <w:rsid w:val="009A3CBF"/>
    <w:rsid w:val="009A3FFE"/>
    <w:rsid w:val="009A45F6"/>
    <w:rsid w:val="009A4EE1"/>
    <w:rsid w:val="009A57A3"/>
    <w:rsid w:val="009A5C98"/>
    <w:rsid w:val="009A5E04"/>
    <w:rsid w:val="009A6032"/>
    <w:rsid w:val="009A6295"/>
    <w:rsid w:val="009A648D"/>
    <w:rsid w:val="009A64B3"/>
    <w:rsid w:val="009A687F"/>
    <w:rsid w:val="009A6C6D"/>
    <w:rsid w:val="009A7E84"/>
    <w:rsid w:val="009B04F7"/>
    <w:rsid w:val="009B0573"/>
    <w:rsid w:val="009B058B"/>
    <w:rsid w:val="009B09DB"/>
    <w:rsid w:val="009B0EB6"/>
    <w:rsid w:val="009B1B91"/>
    <w:rsid w:val="009B2509"/>
    <w:rsid w:val="009B2953"/>
    <w:rsid w:val="009B36ED"/>
    <w:rsid w:val="009B38BF"/>
    <w:rsid w:val="009B3EE0"/>
    <w:rsid w:val="009B3F25"/>
    <w:rsid w:val="009B4309"/>
    <w:rsid w:val="009B492A"/>
    <w:rsid w:val="009B4A73"/>
    <w:rsid w:val="009B4EC5"/>
    <w:rsid w:val="009B5288"/>
    <w:rsid w:val="009B5AFE"/>
    <w:rsid w:val="009B62B0"/>
    <w:rsid w:val="009B63D7"/>
    <w:rsid w:val="009B71BC"/>
    <w:rsid w:val="009B7B4B"/>
    <w:rsid w:val="009B7C21"/>
    <w:rsid w:val="009C0692"/>
    <w:rsid w:val="009C0EF4"/>
    <w:rsid w:val="009C0F71"/>
    <w:rsid w:val="009C129F"/>
    <w:rsid w:val="009C1328"/>
    <w:rsid w:val="009C14D5"/>
    <w:rsid w:val="009C15C6"/>
    <w:rsid w:val="009C18AD"/>
    <w:rsid w:val="009C33CC"/>
    <w:rsid w:val="009C345C"/>
    <w:rsid w:val="009C3FCE"/>
    <w:rsid w:val="009C4970"/>
    <w:rsid w:val="009C4C83"/>
    <w:rsid w:val="009C4D66"/>
    <w:rsid w:val="009C53C7"/>
    <w:rsid w:val="009C5401"/>
    <w:rsid w:val="009C5B7D"/>
    <w:rsid w:val="009C65DE"/>
    <w:rsid w:val="009C71DB"/>
    <w:rsid w:val="009C7850"/>
    <w:rsid w:val="009C7B0F"/>
    <w:rsid w:val="009C7B25"/>
    <w:rsid w:val="009C7DEC"/>
    <w:rsid w:val="009D0550"/>
    <w:rsid w:val="009D07A4"/>
    <w:rsid w:val="009D11A3"/>
    <w:rsid w:val="009D12DF"/>
    <w:rsid w:val="009D1F0C"/>
    <w:rsid w:val="009D1F1F"/>
    <w:rsid w:val="009D2172"/>
    <w:rsid w:val="009D290D"/>
    <w:rsid w:val="009D2EA9"/>
    <w:rsid w:val="009D31BF"/>
    <w:rsid w:val="009D349B"/>
    <w:rsid w:val="009D358F"/>
    <w:rsid w:val="009D359B"/>
    <w:rsid w:val="009D35F8"/>
    <w:rsid w:val="009D39BB"/>
    <w:rsid w:val="009D4211"/>
    <w:rsid w:val="009D506D"/>
    <w:rsid w:val="009D600B"/>
    <w:rsid w:val="009D64F7"/>
    <w:rsid w:val="009D6610"/>
    <w:rsid w:val="009D6BEF"/>
    <w:rsid w:val="009D6FA4"/>
    <w:rsid w:val="009D799E"/>
    <w:rsid w:val="009D7A51"/>
    <w:rsid w:val="009D7AA5"/>
    <w:rsid w:val="009D7C31"/>
    <w:rsid w:val="009D7CDE"/>
    <w:rsid w:val="009E0737"/>
    <w:rsid w:val="009E08E9"/>
    <w:rsid w:val="009E0958"/>
    <w:rsid w:val="009E0AD4"/>
    <w:rsid w:val="009E0C8C"/>
    <w:rsid w:val="009E164B"/>
    <w:rsid w:val="009E1B4B"/>
    <w:rsid w:val="009E2642"/>
    <w:rsid w:val="009E2B15"/>
    <w:rsid w:val="009E2B66"/>
    <w:rsid w:val="009E2C7D"/>
    <w:rsid w:val="009E3434"/>
    <w:rsid w:val="009E3471"/>
    <w:rsid w:val="009E348B"/>
    <w:rsid w:val="009E4E6E"/>
    <w:rsid w:val="009E5166"/>
    <w:rsid w:val="009E51D2"/>
    <w:rsid w:val="009E5BAE"/>
    <w:rsid w:val="009E6201"/>
    <w:rsid w:val="009E6338"/>
    <w:rsid w:val="009E68A1"/>
    <w:rsid w:val="009E692C"/>
    <w:rsid w:val="009E6C2A"/>
    <w:rsid w:val="009E7554"/>
    <w:rsid w:val="009E7BEA"/>
    <w:rsid w:val="009F05F2"/>
    <w:rsid w:val="009F0660"/>
    <w:rsid w:val="009F0EBE"/>
    <w:rsid w:val="009F1763"/>
    <w:rsid w:val="009F1885"/>
    <w:rsid w:val="009F1A4C"/>
    <w:rsid w:val="009F1D35"/>
    <w:rsid w:val="009F22AC"/>
    <w:rsid w:val="009F2E63"/>
    <w:rsid w:val="009F341C"/>
    <w:rsid w:val="009F346B"/>
    <w:rsid w:val="009F3D79"/>
    <w:rsid w:val="009F3E1B"/>
    <w:rsid w:val="009F3F61"/>
    <w:rsid w:val="009F4504"/>
    <w:rsid w:val="009F4909"/>
    <w:rsid w:val="009F4F54"/>
    <w:rsid w:val="009F5005"/>
    <w:rsid w:val="009F51AD"/>
    <w:rsid w:val="009F5380"/>
    <w:rsid w:val="009F5446"/>
    <w:rsid w:val="009F6097"/>
    <w:rsid w:val="009F6363"/>
    <w:rsid w:val="009F760D"/>
    <w:rsid w:val="009F7B83"/>
    <w:rsid w:val="00A008E4"/>
    <w:rsid w:val="00A00A3E"/>
    <w:rsid w:val="00A00A9E"/>
    <w:rsid w:val="00A00D8F"/>
    <w:rsid w:val="00A01082"/>
    <w:rsid w:val="00A02096"/>
    <w:rsid w:val="00A020F8"/>
    <w:rsid w:val="00A023B1"/>
    <w:rsid w:val="00A03663"/>
    <w:rsid w:val="00A03689"/>
    <w:rsid w:val="00A037F6"/>
    <w:rsid w:val="00A03879"/>
    <w:rsid w:val="00A04530"/>
    <w:rsid w:val="00A04641"/>
    <w:rsid w:val="00A047D7"/>
    <w:rsid w:val="00A04864"/>
    <w:rsid w:val="00A048ED"/>
    <w:rsid w:val="00A04992"/>
    <w:rsid w:val="00A065B2"/>
    <w:rsid w:val="00A06868"/>
    <w:rsid w:val="00A06D2E"/>
    <w:rsid w:val="00A072CE"/>
    <w:rsid w:val="00A07AB9"/>
    <w:rsid w:val="00A07ACC"/>
    <w:rsid w:val="00A10101"/>
    <w:rsid w:val="00A10260"/>
    <w:rsid w:val="00A104B4"/>
    <w:rsid w:val="00A10B99"/>
    <w:rsid w:val="00A11090"/>
    <w:rsid w:val="00A11714"/>
    <w:rsid w:val="00A118E2"/>
    <w:rsid w:val="00A11A56"/>
    <w:rsid w:val="00A1243B"/>
    <w:rsid w:val="00A126FA"/>
    <w:rsid w:val="00A12B36"/>
    <w:rsid w:val="00A13030"/>
    <w:rsid w:val="00A13CE4"/>
    <w:rsid w:val="00A13FA6"/>
    <w:rsid w:val="00A14012"/>
    <w:rsid w:val="00A14156"/>
    <w:rsid w:val="00A1459C"/>
    <w:rsid w:val="00A147AA"/>
    <w:rsid w:val="00A148F7"/>
    <w:rsid w:val="00A153B2"/>
    <w:rsid w:val="00A15530"/>
    <w:rsid w:val="00A15AA4"/>
    <w:rsid w:val="00A15C93"/>
    <w:rsid w:val="00A16863"/>
    <w:rsid w:val="00A16B91"/>
    <w:rsid w:val="00A16F02"/>
    <w:rsid w:val="00A16F3E"/>
    <w:rsid w:val="00A1722D"/>
    <w:rsid w:val="00A176F8"/>
    <w:rsid w:val="00A17B58"/>
    <w:rsid w:val="00A17C4E"/>
    <w:rsid w:val="00A203E7"/>
    <w:rsid w:val="00A206F5"/>
    <w:rsid w:val="00A20976"/>
    <w:rsid w:val="00A209BE"/>
    <w:rsid w:val="00A20FC9"/>
    <w:rsid w:val="00A21911"/>
    <w:rsid w:val="00A21A0E"/>
    <w:rsid w:val="00A21A7C"/>
    <w:rsid w:val="00A21D71"/>
    <w:rsid w:val="00A21DD6"/>
    <w:rsid w:val="00A22128"/>
    <w:rsid w:val="00A22541"/>
    <w:rsid w:val="00A226EF"/>
    <w:rsid w:val="00A22B78"/>
    <w:rsid w:val="00A233D4"/>
    <w:rsid w:val="00A23644"/>
    <w:rsid w:val="00A23D7B"/>
    <w:rsid w:val="00A24661"/>
    <w:rsid w:val="00A2513E"/>
    <w:rsid w:val="00A25773"/>
    <w:rsid w:val="00A25AE5"/>
    <w:rsid w:val="00A25FCB"/>
    <w:rsid w:val="00A26442"/>
    <w:rsid w:val="00A26610"/>
    <w:rsid w:val="00A275D2"/>
    <w:rsid w:val="00A277B2"/>
    <w:rsid w:val="00A27E02"/>
    <w:rsid w:val="00A303C8"/>
    <w:rsid w:val="00A30405"/>
    <w:rsid w:val="00A30AF0"/>
    <w:rsid w:val="00A30D41"/>
    <w:rsid w:val="00A3114E"/>
    <w:rsid w:val="00A31241"/>
    <w:rsid w:val="00A31825"/>
    <w:rsid w:val="00A318F2"/>
    <w:rsid w:val="00A31A46"/>
    <w:rsid w:val="00A31AFD"/>
    <w:rsid w:val="00A31D67"/>
    <w:rsid w:val="00A31DFF"/>
    <w:rsid w:val="00A31EFB"/>
    <w:rsid w:val="00A321AD"/>
    <w:rsid w:val="00A324FF"/>
    <w:rsid w:val="00A326A2"/>
    <w:rsid w:val="00A32C81"/>
    <w:rsid w:val="00A332E0"/>
    <w:rsid w:val="00A3334D"/>
    <w:rsid w:val="00A3344D"/>
    <w:rsid w:val="00A33ADC"/>
    <w:rsid w:val="00A33D92"/>
    <w:rsid w:val="00A34F2A"/>
    <w:rsid w:val="00A35235"/>
    <w:rsid w:val="00A3545D"/>
    <w:rsid w:val="00A3550F"/>
    <w:rsid w:val="00A3606E"/>
    <w:rsid w:val="00A36E75"/>
    <w:rsid w:val="00A36E8C"/>
    <w:rsid w:val="00A37002"/>
    <w:rsid w:val="00A40C23"/>
    <w:rsid w:val="00A4109A"/>
    <w:rsid w:val="00A4167D"/>
    <w:rsid w:val="00A418C6"/>
    <w:rsid w:val="00A41CC3"/>
    <w:rsid w:val="00A41D4F"/>
    <w:rsid w:val="00A42196"/>
    <w:rsid w:val="00A4329D"/>
    <w:rsid w:val="00A4355E"/>
    <w:rsid w:val="00A43B78"/>
    <w:rsid w:val="00A43FA8"/>
    <w:rsid w:val="00A447C3"/>
    <w:rsid w:val="00A44AA3"/>
    <w:rsid w:val="00A44BD9"/>
    <w:rsid w:val="00A44C27"/>
    <w:rsid w:val="00A454F3"/>
    <w:rsid w:val="00A45A3C"/>
    <w:rsid w:val="00A45E88"/>
    <w:rsid w:val="00A46B46"/>
    <w:rsid w:val="00A5101C"/>
    <w:rsid w:val="00A51403"/>
    <w:rsid w:val="00A51DF9"/>
    <w:rsid w:val="00A51EC2"/>
    <w:rsid w:val="00A520D9"/>
    <w:rsid w:val="00A52F6C"/>
    <w:rsid w:val="00A5317D"/>
    <w:rsid w:val="00A54B63"/>
    <w:rsid w:val="00A5513F"/>
    <w:rsid w:val="00A55215"/>
    <w:rsid w:val="00A5602E"/>
    <w:rsid w:val="00A56557"/>
    <w:rsid w:val="00A56575"/>
    <w:rsid w:val="00A565D5"/>
    <w:rsid w:val="00A572F0"/>
    <w:rsid w:val="00A57B36"/>
    <w:rsid w:val="00A60771"/>
    <w:rsid w:val="00A60B2A"/>
    <w:rsid w:val="00A61C84"/>
    <w:rsid w:val="00A6252B"/>
    <w:rsid w:val="00A62615"/>
    <w:rsid w:val="00A627BD"/>
    <w:rsid w:val="00A627D4"/>
    <w:rsid w:val="00A636B2"/>
    <w:rsid w:val="00A6370F"/>
    <w:rsid w:val="00A63BB1"/>
    <w:rsid w:val="00A63C15"/>
    <w:rsid w:val="00A643F0"/>
    <w:rsid w:val="00A644B0"/>
    <w:rsid w:val="00A64643"/>
    <w:rsid w:val="00A647BA"/>
    <w:rsid w:val="00A64DA0"/>
    <w:rsid w:val="00A65264"/>
    <w:rsid w:val="00A65536"/>
    <w:rsid w:val="00A65BCC"/>
    <w:rsid w:val="00A65D4F"/>
    <w:rsid w:val="00A660C8"/>
    <w:rsid w:val="00A661B6"/>
    <w:rsid w:val="00A66627"/>
    <w:rsid w:val="00A66AA1"/>
    <w:rsid w:val="00A66F12"/>
    <w:rsid w:val="00A679EB"/>
    <w:rsid w:val="00A67C72"/>
    <w:rsid w:val="00A7021B"/>
    <w:rsid w:val="00A7029B"/>
    <w:rsid w:val="00A7042C"/>
    <w:rsid w:val="00A70B7F"/>
    <w:rsid w:val="00A71BD4"/>
    <w:rsid w:val="00A722D0"/>
    <w:rsid w:val="00A723E5"/>
    <w:rsid w:val="00A72702"/>
    <w:rsid w:val="00A72E40"/>
    <w:rsid w:val="00A72F40"/>
    <w:rsid w:val="00A73120"/>
    <w:rsid w:val="00A735EC"/>
    <w:rsid w:val="00A7420D"/>
    <w:rsid w:val="00A744FF"/>
    <w:rsid w:val="00A752E1"/>
    <w:rsid w:val="00A75532"/>
    <w:rsid w:val="00A75916"/>
    <w:rsid w:val="00A7596D"/>
    <w:rsid w:val="00A759FB"/>
    <w:rsid w:val="00A764EE"/>
    <w:rsid w:val="00A7666B"/>
    <w:rsid w:val="00A76684"/>
    <w:rsid w:val="00A76943"/>
    <w:rsid w:val="00A76F70"/>
    <w:rsid w:val="00A771C9"/>
    <w:rsid w:val="00A80EA0"/>
    <w:rsid w:val="00A80F99"/>
    <w:rsid w:val="00A81540"/>
    <w:rsid w:val="00A8186A"/>
    <w:rsid w:val="00A82310"/>
    <w:rsid w:val="00A82593"/>
    <w:rsid w:val="00A826C3"/>
    <w:rsid w:val="00A82AAF"/>
    <w:rsid w:val="00A83835"/>
    <w:rsid w:val="00A83A57"/>
    <w:rsid w:val="00A84062"/>
    <w:rsid w:val="00A8408B"/>
    <w:rsid w:val="00A84371"/>
    <w:rsid w:val="00A8499D"/>
    <w:rsid w:val="00A84BED"/>
    <w:rsid w:val="00A84E43"/>
    <w:rsid w:val="00A86031"/>
    <w:rsid w:val="00A86426"/>
    <w:rsid w:val="00A86F5D"/>
    <w:rsid w:val="00A86F63"/>
    <w:rsid w:val="00A87274"/>
    <w:rsid w:val="00A90347"/>
    <w:rsid w:val="00A906F9"/>
    <w:rsid w:val="00A917E6"/>
    <w:rsid w:val="00A91A38"/>
    <w:rsid w:val="00A91B61"/>
    <w:rsid w:val="00A91F47"/>
    <w:rsid w:val="00A922F3"/>
    <w:rsid w:val="00A9230C"/>
    <w:rsid w:val="00A92494"/>
    <w:rsid w:val="00A92797"/>
    <w:rsid w:val="00A92BCD"/>
    <w:rsid w:val="00A92CED"/>
    <w:rsid w:val="00A93A1A"/>
    <w:rsid w:val="00A94D54"/>
    <w:rsid w:val="00A95521"/>
    <w:rsid w:val="00A95A06"/>
    <w:rsid w:val="00A97308"/>
    <w:rsid w:val="00A9760B"/>
    <w:rsid w:val="00A97650"/>
    <w:rsid w:val="00A978E6"/>
    <w:rsid w:val="00AA0747"/>
    <w:rsid w:val="00AA09B3"/>
    <w:rsid w:val="00AA1619"/>
    <w:rsid w:val="00AA1B0E"/>
    <w:rsid w:val="00AA1EC5"/>
    <w:rsid w:val="00AA21D1"/>
    <w:rsid w:val="00AA22A6"/>
    <w:rsid w:val="00AA2378"/>
    <w:rsid w:val="00AA2AE8"/>
    <w:rsid w:val="00AA2F2F"/>
    <w:rsid w:val="00AA4093"/>
    <w:rsid w:val="00AA4134"/>
    <w:rsid w:val="00AA4473"/>
    <w:rsid w:val="00AA44E1"/>
    <w:rsid w:val="00AA4609"/>
    <w:rsid w:val="00AA47B6"/>
    <w:rsid w:val="00AA4A28"/>
    <w:rsid w:val="00AA5C17"/>
    <w:rsid w:val="00AA5D61"/>
    <w:rsid w:val="00AA629A"/>
    <w:rsid w:val="00AA656F"/>
    <w:rsid w:val="00AA6A6B"/>
    <w:rsid w:val="00AA6ACB"/>
    <w:rsid w:val="00AA6FB1"/>
    <w:rsid w:val="00AA7575"/>
    <w:rsid w:val="00AA7591"/>
    <w:rsid w:val="00AA7882"/>
    <w:rsid w:val="00AB1658"/>
    <w:rsid w:val="00AB1C8A"/>
    <w:rsid w:val="00AB2DCE"/>
    <w:rsid w:val="00AB38C2"/>
    <w:rsid w:val="00AB3C17"/>
    <w:rsid w:val="00AB404F"/>
    <w:rsid w:val="00AB4160"/>
    <w:rsid w:val="00AB44E2"/>
    <w:rsid w:val="00AB4700"/>
    <w:rsid w:val="00AB48A8"/>
    <w:rsid w:val="00AB4C36"/>
    <w:rsid w:val="00AB5740"/>
    <w:rsid w:val="00AB5815"/>
    <w:rsid w:val="00AB592E"/>
    <w:rsid w:val="00AB5A3F"/>
    <w:rsid w:val="00AB5AF2"/>
    <w:rsid w:val="00AB5DD8"/>
    <w:rsid w:val="00AB5EE3"/>
    <w:rsid w:val="00AB66D4"/>
    <w:rsid w:val="00AB7A29"/>
    <w:rsid w:val="00AB7BCC"/>
    <w:rsid w:val="00AB7BE8"/>
    <w:rsid w:val="00AB7E04"/>
    <w:rsid w:val="00AC0437"/>
    <w:rsid w:val="00AC05A2"/>
    <w:rsid w:val="00AC0BF8"/>
    <w:rsid w:val="00AC0C6D"/>
    <w:rsid w:val="00AC163B"/>
    <w:rsid w:val="00AC1A5A"/>
    <w:rsid w:val="00AC1D6B"/>
    <w:rsid w:val="00AC1FFF"/>
    <w:rsid w:val="00AC225D"/>
    <w:rsid w:val="00AC31BE"/>
    <w:rsid w:val="00AC3389"/>
    <w:rsid w:val="00AC35CC"/>
    <w:rsid w:val="00AC3644"/>
    <w:rsid w:val="00AC36F7"/>
    <w:rsid w:val="00AC3B2E"/>
    <w:rsid w:val="00AC3DEA"/>
    <w:rsid w:val="00AC3DF7"/>
    <w:rsid w:val="00AC46E3"/>
    <w:rsid w:val="00AC4C7E"/>
    <w:rsid w:val="00AC4E0D"/>
    <w:rsid w:val="00AC4E72"/>
    <w:rsid w:val="00AC555A"/>
    <w:rsid w:val="00AC595C"/>
    <w:rsid w:val="00AC5CA7"/>
    <w:rsid w:val="00AC6058"/>
    <w:rsid w:val="00AC6E84"/>
    <w:rsid w:val="00AC717C"/>
    <w:rsid w:val="00AC7C57"/>
    <w:rsid w:val="00AC7CE9"/>
    <w:rsid w:val="00AD04E1"/>
    <w:rsid w:val="00AD058C"/>
    <w:rsid w:val="00AD0608"/>
    <w:rsid w:val="00AD07BB"/>
    <w:rsid w:val="00AD08FD"/>
    <w:rsid w:val="00AD0B6E"/>
    <w:rsid w:val="00AD12B6"/>
    <w:rsid w:val="00AD28D6"/>
    <w:rsid w:val="00AD3357"/>
    <w:rsid w:val="00AD3556"/>
    <w:rsid w:val="00AD3E9B"/>
    <w:rsid w:val="00AD3F3C"/>
    <w:rsid w:val="00AD432F"/>
    <w:rsid w:val="00AD4B9C"/>
    <w:rsid w:val="00AD4C55"/>
    <w:rsid w:val="00AD5AB4"/>
    <w:rsid w:val="00AD60E8"/>
    <w:rsid w:val="00AD647D"/>
    <w:rsid w:val="00AD65FC"/>
    <w:rsid w:val="00AD6D14"/>
    <w:rsid w:val="00AD7975"/>
    <w:rsid w:val="00AE029B"/>
    <w:rsid w:val="00AE0BE6"/>
    <w:rsid w:val="00AE1075"/>
    <w:rsid w:val="00AE12DE"/>
    <w:rsid w:val="00AE1345"/>
    <w:rsid w:val="00AE1426"/>
    <w:rsid w:val="00AE143E"/>
    <w:rsid w:val="00AE173A"/>
    <w:rsid w:val="00AE1949"/>
    <w:rsid w:val="00AE1966"/>
    <w:rsid w:val="00AE29E6"/>
    <w:rsid w:val="00AE2B01"/>
    <w:rsid w:val="00AE2BA5"/>
    <w:rsid w:val="00AE2D59"/>
    <w:rsid w:val="00AE31CD"/>
    <w:rsid w:val="00AE3478"/>
    <w:rsid w:val="00AE3883"/>
    <w:rsid w:val="00AE4431"/>
    <w:rsid w:val="00AE47C5"/>
    <w:rsid w:val="00AE48DE"/>
    <w:rsid w:val="00AE4DED"/>
    <w:rsid w:val="00AE5165"/>
    <w:rsid w:val="00AE56B1"/>
    <w:rsid w:val="00AE57B8"/>
    <w:rsid w:val="00AE5CEC"/>
    <w:rsid w:val="00AE5CFD"/>
    <w:rsid w:val="00AE5FCE"/>
    <w:rsid w:val="00AE610E"/>
    <w:rsid w:val="00AE6499"/>
    <w:rsid w:val="00AE680B"/>
    <w:rsid w:val="00AE6D09"/>
    <w:rsid w:val="00AE74AD"/>
    <w:rsid w:val="00AE74E7"/>
    <w:rsid w:val="00AF029E"/>
    <w:rsid w:val="00AF0A0E"/>
    <w:rsid w:val="00AF109A"/>
    <w:rsid w:val="00AF1245"/>
    <w:rsid w:val="00AF1518"/>
    <w:rsid w:val="00AF1654"/>
    <w:rsid w:val="00AF1D8F"/>
    <w:rsid w:val="00AF206F"/>
    <w:rsid w:val="00AF2636"/>
    <w:rsid w:val="00AF2708"/>
    <w:rsid w:val="00AF27F9"/>
    <w:rsid w:val="00AF2A88"/>
    <w:rsid w:val="00AF2DBC"/>
    <w:rsid w:val="00AF3E70"/>
    <w:rsid w:val="00AF41DA"/>
    <w:rsid w:val="00AF43BE"/>
    <w:rsid w:val="00AF4493"/>
    <w:rsid w:val="00AF4883"/>
    <w:rsid w:val="00AF4A5D"/>
    <w:rsid w:val="00AF4AF5"/>
    <w:rsid w:val="00AF4C8F"/>
    <w:rsid w:val="00AF51E0"/>
    <w:rsid w:val="00AF60FB"/>
    <w:rsid w:val="00AF61A3"/>
    <w:rsid w:val="00AF6391"/>
    <w:rsid w:val="00AF644C"/>
    <w:rsid w:val="00AF6DEA"/>
    <w:rsid w:val="00AF6E49"/>
    <w:rsid w:val="00AF6E96"/>
    <w:rsid w:val="00AF7136"/>
    <w:rsid w:val="00AF718E"/>
    <w:rsid w:val="00AF735F"/>
    <w:rsid w:val="00AF73F2"/>
    <w:rsid w:val="00AF76B7"/>
    <w:rsid w:val="00AF76CB"/>
    <w:rsid w:val="00AF7A7C"/>
    <w:rsid w:val="00AF7C75"/>
    <w:rsid w:val="00AF7CAB"/>
    <w:rsid w:val="00B002E2"/>
    <w:rsid w:val="00B0091E"/>
    <w:rsid w:val="00B014BF"/>
    <w:rsid w:val="00B017F8"/>
    <w:rsid w:val="00B01B54"/>
    <w:rsid w:val="00B02070"/>
    <w:rsid w:val="00B02AA3"/>
    <w:rsid w:val="00B02BA4"/>
    <w:rsid w:val="00B03802"/>
    <w:rsid w:val="00B0401F"/>
    <w:rsid w:val="00B04331"/>
    <w:rsid w:val="00B04A86"/>
    <w:rsid w:val="00B054E5"/>
    <w:rsid w:val="00B05F36"/>
    <w:rsid w:val="00B06298"/>
    <w:rsid w:val="00B07232"/>
    <w:rsid w:val="00B076DE"/>
    <w:rsid w:val="00B07E39"/>
    <w:rsid w:val="00B07F65"/>
    <w:rsid w:val="00B07FD9"/>
    <w:rsid w:val="00B101A6"/>
    <w:rsid w:val="00B10353"/>
    <w:rsid w:val="00B1048F"/>
    <w:rsid w:val="00B106BA"/>
    <w:rsid w:val="00B10800"/>
    <w:rsid w:val="00B10E31"/>
    <w:rsid w:val="00B11296"/>
    <w:rsid w:val="00B11319"/>
    <w:rsid w:val="00B11B6F"/>
    <w:rsid w:val="00B11DA3"/>
    <w:rsid w:val="00B11EB2"/>
    <w:rsid w:val="00B12236"/>
    <w:rsid w:val="00B12249"/>
    <w:rsid w:val="00B13269"/>
    <w:rsid w:val="00B13C84"/>
    <w:rsid w:val="00B13E64"/>
    <w:rsid w:val="00B13F24"/>
    <w:rsid w:val="00B14599"/>
    <w:rsid w:val="00B14A3B"/>
    <w:rsid w:val="00B15202"/>
    <w:rsid w:val="00B15471"/>
    <w:rsid w:val="00B155AF"/>
    <w:rsid w:val="00B15774"/>
    <w:rsid w:val="00B1648D"/>
    <w:rsid w:val="00B164BF"/>
    <w:rsid w:val="00B16BFF"/>
    <w:rsid w:val="00B16C2C"/>
    <w:rsid w:val="00B176B5"/>
    <w:rsid w:val="00B176FF"/>
    <w:rsid w:val="00B1798F"/>
    <w:rsid w:val="00B17B8D"/>
    <w:rsid w:val="00B17E7E"/>
    <w:rsid w:val="00B2023D"/>
    <w:rsid w:val="00B2050E"/>
    <w:rsid w:val="00B20A76"/>
    <w:rsid w:val="00B20B34"/>
    <w:rsid w:val="00B20D0B"/>
    <w:rsid w:val="00B22716"/>
    <w:rsid w:val="00B2298F"/>
    <w:rsid w:val="00B230F9"/>
    <w:rsid w:val="00B23E15"/>
    <w:rsid w:val="00B240F3"/>
    <w:rsid w:val="00B242C3"/>
    <w:rsid w:val="00B24909"/>
    <w:rsid w:val="00B24C46"/>
    <w:rsid w:val="00B25494"/>
    <w:rsid w:val="00B255EF"/>
    <w:rsid w:val="00B2661E"/>
    <w:rsid w:val="00B26C61"/>
    <w:rsid w:val="00B271EF"/>
    <w:rsid w:val="00B300C9"/>
    <w:rsid w:val="00B30315"/>
    <w:rsid w:val="00B30818"/>
    <w:rsid w:val="00B30C2A"/>
    <w:rsid w:val="00B30EF8"/>
    <w:rsid w:val="00B310F9"/>
    <w:rsid w:val="00B31D96"/>
    <w:rsid w:val="00B3231E"/>
    <w:rsid w:val="00B323A7"/>
    <w:rsid w:val="00B323C8"/>
    <w:rsid w:val="00B32634"/>
    <w:rsid w:val="00B32C78"/>
    <w:rsid w:val="00B32CD3"/>
    <w:rsid w:val="00B33258"/>
    <w:rsid w:val="00B33457"/>
    <w:rsid w:val="00B3405A"/>
    <w:rsid w:val="00B34975"/>
    <w:rsid w:val="00B34A60"/>
    <w:rsid w:val="00B34A7A"/>
    <w:rsid w:val="00B34FAD"/>
    <w:rsid w:val="00B353DF"/>
    <w:rsid w:val="00B35546"/>
    <w:rsid w:val="00B35838"/>
    <w:rsid w:val="00B35CA2"/>
    <w:rsid w:val="00B35FE5"/>
    <w:rsid w:val="00B36625"/>
    <w:rsid w:val="00B36F85"/>
    <w:rsid w:val="00B3732B"/>
    <w:rsid w:val="00B376EA"/>
    <w:rsid w:val="00B37BF2"/>
    <w:rsid w:val="00B37EA5"/>
    <w:rsid w:val="00B4079B"/>
    <w:rsid w:val="00B407A4"/>
    <w:rsid w:val="00B408B6"/>
    <w:rsid w:val="00B40B67"/>
    <w:rsid w:val="00B40CCA"/>
    <w:rsid w:val="00B40CDB"/>
    <w:rsid w:val="00B40EE9"/>
    <w:rsid w:val="00B4106D"/>
    <w:rsid w:val="00B41116"/>
    <w:rsid w:val="00B4152A"/>
    <w:rsid w:val="00B41579"/>
    <w:rsid w:val="00B4199F"/>
    <w:rsid w:val="00B41CA0"/>
    <w:rsid w:val="00B42249"/>
    <w:rsid w:val="00B4271B"/>
    <w:rsid w:val="00B42C59"/>
    <w:rsid w:val="00B43055"/>
    <w:rsid w:val="00B433CB"/>
    <w:rsid w:val="00B434FC"/>
    <w:rsid w:val="00B4358F"/>
    <w:rsid w:val="00B43875"/>
    <w:rsid w:val="00B44C48"/>
    <w:rsid w:val="00B450EE"/>
    <w:rsid w:val="00B455A9"/>
    <w:rsid w:val="00B455D1"/>
    <w:rsid w:val="00B45AE9"/>
    <w:rsid w:val="00B45CC3"/>
    <w:rsid w:val="00B45D7F"/>
    <w:rsid w:val="00B45EF2"/>
    <w:rsid w:val="00B45F6D"/>
    <w:rsid w:val="00B46395"/>
    <w:rsid w:val="00B46559"/>
    <w:rsid w:val="00B46824"/>
    <w:rsid w:val="00B46ECC"/>
    <w:rsid w:val="00B4710E"/>
    <w:rsid w:val="00B474CF"/>
    <w:rsid w:val="00B4755F"/>
    <w:rsid w:val="00B47C35"/>
    <w:rsid w:val="00B47D35"/>
    <w:rsid w:val="00B500C6"/>
    <w:rsid w:val="00B50838"/>
    <w:rsid w:val="00B512CD"/>
    <w:rsid w:val="00B51408"/>
    <w:rsid w:val="00B5235E"/>
    <w:rsid w:val="00B52399"/>
    <w:rsid w:val="00B52434"/>
    <w:rsid w:val="00B52D3C"/>
    <w:rsid w:val="00B5360A"/>
    <w:rsid w:val="00B5417B"/>
    <w:rsid w:val="00B542DA"/>
    <w:rsid w:val="00B54BE9"/>
    <w:rsid w:val="00B54D57"/>
    <w:rsid w:val="00B54F4B"/>
    <w:rsid w:val="00B5542C"/>
    <w:rsid w:val="00B557C3"/>
    <w:rsid w:val="00B557C8"/>
    <w:rsid w:val="00B55D57"/>
    <w:rsid w:val="00B56208"/>
    <w:rsid w:val="00B56309"/>
    <w:rsid w:val="00B56551"/>
    <w:rsid w:val="00B56773"/>
    <w:rsid w:val="00B56EEC"/>
    <w:rsid w:val="00B57176"/>
    <w:rsid w:val="00B571BA"/>
    <w:rsid w:val="00B5777D"/>
    <w:rsid w:val="00B57930"/>
    <w:rsid w:val="00B5798A"/>
    <w:rsid w:val="00B60445"/>
    <w:rsid w:val="00B60785"/>
    <w:rsid w:val="00B61127"/>
    <w:rsid w:val="00B61476"/>
    <w:rsid w:val="00B619EB"/>
    <w:rsid w:val="00B61A31"/>
    <w:rsid w:val="00B61A4B"/>
    <w:rsid w:val="00B62424"/>
    <w:rsid w:val="00B62BDD"/>
    <w:rsid w:val="00B63810"/>
    <w:rsid w:val="00B64489"/>
    <w:rsid w:val="00B64583"/>
    <w:rsid w:val="00B6520B"/>
    <w:rsid w:val="00B653CA"/>
    <w:rsid w:val="00B657D5"/>
    <w:rsid w:val="00B6595C"/>
    <w:rsid w:val="00B65B43"/>
    <w:rsid w:val="00B65C97"/>
    <w:rsid w:val="00B664E1"/>
    <w:rsid w:val="00B67271"/>
    <w:rsid w:val="00B675CA"/>
    <w:rsid w:val="00B67862"/>
    <w:rsid w:val="00B67B3E"/>
    <w:rsid w:val="00B700A1"/>
    <w:rsid w:val="00B707EA"/>
    <w:rsid w:val="00B70FA8"/>
    <w:rsid w:val="00B71A6A"/>
    <w:rsid w:val="00B72549"/>
    <w:rsid w:val="00B72CF2"/>
    <w:rsid w:val="00B72E6B"/>
    <w:rsid w:val="00B73068"/>
    <w:rsid w:val="00B7355E"/>
    <w:rsid w:val="00B735D2"/>
    <w:rsid w:val="00B7385A"/>
    <w:rsid w:val="00B73862"/>
    <w:rsid w:val="00B7387C"/>
    <w:rsid w:val="00B73F43"/>
    <w:rsid w:val="00B742E4"/>
    <w:rsid w:val="00B74884"/>
    <w:rsid w:val="00B749D0"/>
    <w:rsid w:val="00B74B03"/>
    <w:rsid w:val="00B74BAF"/>
    <w:rsid w:val="00B74D67"/>
    <w:rsid w:val="00B74F2D"/>
    <w:rsid w:val="00B7515B"/>
    <w:rsid w:val="00B75BBF"/>
    <w:rsid w:val="00B764AE"/>
    <w:rsid w:val="00B76632"/>
    <w:rsid w:val="00B76AD9"/>
    <w:rsid w:val="00B76E78"/>
    <w:rsid w:val="00B77DE7"/>
    <w:rsid w:val="00B80178"/>
    <w:rsid w:val="00B802B5"/>
    <w:rsid w:val="00B8122E"/>
    <w:rsid w:val="00B812A7"/>
    <w:rsid w:val="00B81864"/>
    <w:rsid w:val="00B81CDC"/>
    <w:rsid w:val="00B8222E"/>
    <w:rsid w:val="00B822A8"/>
    <w:rsid w:val="00B8244C"/>
    <w:rsid w:val="00B82651"/>
    <w:rsid w:val="00B8269E"/>
    <w:rsid w:val="00B826D7"/>
    <w:rsid w:val="00B82987"/>
    <w:rsid w:val="00B82A7C"/>
    <w:rsid w:val="00B82E96"/>
    <w:rsid w:val="00B82F2E"/>
    <w:rsid w:val="00B8320C"/>
    <w:rsid w:val="00B84237"/>
    <w:rsid w:val="00B8432C"/>
    <w:rsid w:val="00B844F7"/>
    <w:rsid w:val="00B8461C"/>
    <w:rsid w:val="00B853CD"/>
    <w:rsid w:val="00B85682"/>
    <w:rsid w:val="00B86008"/>
    <w:rsid w:val="00B869DE"/>
    <w:rsid w:val="00B86A2E"/>
    <w:rsid w:val="00B86A52"/>
    <w:rsid w:val="00B86C14"/>
    <w:rsid w:val="00B86D90"/>
    <w:rsid w:val="00B86D99"/>
    <w:rsid w:val="00B86DE8"/>
    <w:rsid w:val="00B874A4"/>
    <w:rsid w:val="00B87519"/>
    <w:rsid w:val="00B875DA"/>
    <w:rsid w:val="00B87821"/>
    <w:rsid w:val="00B87C10"/>
    <w:rsid w:val="00B87EBA"/>
    <w:rsid w:val="00B90779"/>
    <w:rsid w:val="00B9096B"/>
    <w:rsid w:val="00B90C96"/>
    <w:rsid w:val="00B90F95"/>
    <w:rsid w:val="00B91088"/>
    <w:rsid w:val="00B91923"/>
    <w:rsid w:val="00B91FD1"/>
    <w:rsid w:val="00B922C5"/>
    <w:rsid w:val="00B92794"/>
    <w:rsid w:val="00B92CDB"/>
    <w:rsid w:val="00B9317E"/>
    <w:rsid w:val="00B93337"/>
    <w:rsid w:val="00B93634"/>
    <w:rsid w:val="00B93DB6"/>
    <w:rsid w:val="00B9466C"/>
    <w:rsid w:val="00B94EFF"/>
    <w:rsid w:val="00B95383"/>
    <w:rsid w:val="00B95845"/>
    <w:rsid w:val="00B95EFD"/>
    <w:rsid w:val="00B96619"/>
    <w:rsid w:val="00B96B12"/>
    <w:rsid w:val="00B97327"/>
    <w:rsid w:val="00B9732E"/>
    <w:rsid w:val="00BA0511"/>
    <w:rsid w:val="00BA06A8"/>
    <w:rsid w:val="00BA1939"/>
    <w:rsid w:val="00BA199C"/>
    <w:rsid w:val="00BA1B56"/>
    <w:rsid w:val="00BA1D1B"/>
    <w:rsid w:val="00BA26DB"/>
    <w:rsid w:val="00BA2DB0"/>
    <w:rsid w:val="00BA308C"/>
    <w:rsid w:val="00BA382F"/>
    <w:rsid w:val="00BA3DAB"/>
    <w:rsid w:val="00BA3F19"/>
    <w:rsid w:val="00BA4323"/>
    <w:rsid w:val="00BA4A46"/>
    <w:rsid w:val="00BA4C7F"/>
    <w:rsid w:val="00BA4E14"/>
    <w:rsid w:val="00BA527C"/>
    <w:rsid w:val="00BA5A84"/>
    <w:rsid w:val="00BA5BC8"/>
    <w:rsid w:val="00BA5E81"/>
    <w:rsid w:val="00BA61FF"/>
    <w:rsid w:val="00BA69EA"/>
    <w:rsid w:val="00BA6B66"/>
    <w:rsid w:val="00BA6B93"/>
    <w:rsid w:val="00BA6E48"/>
    <w:rsid w:val="00BA73C4"/>
    <w:rsid w:val="00BA779D"/>
    <w:rsid w:val="00BB045C"/>
    <w:rsid w:val="00BB0E2B"/>
    <w:rsid w:val="00BB17C8"/>
    <w:rsid w:val="00BB1F57"/>
    <w:rsid w:val="00BB2039"/>
    <w:rsid w:val="00BB24E1"/>
    <w:rsid w:val="00BB252D"/>
    <w:rsid w:val="00BB31CD"/>
    <w:rsid w:val="00BB3AAC"/>
    <w:rsid w:val="00BB3D21"/>
    <w:rsid w:val="00BB43F0"/>
    <w:rsid w:val="00BB44D8"/>
    <w:rsid w:val="00BB44FD"/>
    <w:rsid w:val="00BB4537"/>
    <w:rsid w:val="00BB45DE"/>
    <w:rsid w:val="00BB4EFB"/>
    <w:rsid w:val="00BB5109"/>
    <w:rsid w:val="00BB573C"/>
    <w:rsid w:val="00BB581E"/>
    <w:rsid w:val="00BB590A"/>
    <w:rsid w:val="00BB60FD"/>
    <w:rsid w:val="00BB6689"/>
    <w:rsid w:val="00BB6864"/>
    <w:rsid w:val="00BB6F61"/>
    <w:rsid w:val="00BC095E"/>
    <w:rsid w:val="00BC0E33"/>
    <w:rsid w:val="00BC0ED2"/>
    <w:rsid w:val="00BC1113"/>
    <w:rsid w:val="00BC1D4F"/>
    <w:rsid w:val="00BC1F16"/>
    <w:rsid w:val="00BC27D2"/>
    <w:rsid w:val="00BC2B87"/>
    <w:rsid w:val="00BC3399"/>
    <w:rsid w:val="00BC33B1"/>
    <w:rsid w:val="00BC3BFC"/>
    <w:rsid w:val="00BC45AC"/>
    <w:rsid w:val="00BC50B4"/>
    <w:rsid w:val="00BC5501"/>
    <w:rsid w:val="00BC605E"/>
    <w:rsid w:val="00BC6183"/>
    <w:rsid w:val="00BC63A0"/>
    <w:rsid w:val="00BC6BFB"/>
    <w:rsid w:val="00BC6E9E"/>
    <w:rsid w:val="00BC732A"/>
    <w:rsid w:val="00BC74C5"/>
    <w:rsid w:val="00BC7B45"/>
    <w:rsid w:val="00BC7FC4"/>
    <w:rsid w:val="00BD0018"/>
    <w:rsid w:val="00BD06DE"/>
    <w:rsid w:val="00BD1365"/>
    <w:rsid w:val="00BD137A"/>
    <w:rsid w:val="00BD1FCB"/>
    <w:rsid w:val="00BD2120"/>
    <w:rsid w:val="00BD23E9"/>
    <w:rsid w:val="00BD29DC"/>
    <w:rsid w:val="00BD2A98"/>
    <w:rsid w:val="00BD35B2"/>
    <w:rsid w:val="00BD3CD1"/>
    <w:rsid w:val="00BD3DE7"/>
    <w:rsid w:val="00BD4B77"/>
    <w:rsid w:val="00BD4D11"/>
    <w:rsid w:val="00BD50F2"/>
    <w:rsid w:val="00BD5120"/>
    <w:rsid w:val="00BD55F7"/>
    <w:rsid w:val="00BD62D8"/>
    <w:rsid w:val="00BD6E76"/>
    <w:rsid w:val="00BD6E9E"/>
    <w:rsid w:val="00BD7179"/>
    <w:rsid w:val="00BD7199"/>
    <w:rsid w:val="00BD7E7E"/>
    <w:rsid w:val="00BE0079"/>
    <w:rsid w:val="00BE0AF6"/>
    <w:rsid w:val="00BE103D"/>
    <w:rsid w:val="00BE12F5"/>
    <w:rsid w:val="00BE1B5D"/>
    <w:rsid w:val="00BE1E29"/>
    <w:rsid w:val="00BE1EA1"/>
    <w:rsid w:val="00BE1F03"/>
    <w:rsid w:val="00BE3266"/>
    <w:rsid w:val="00BE34BE"/>
    <w:rsid w:val="00BE3509"/>
    <w:rsid w:val="00BE4A52"/>
    <w:rsid w:val="00BE555B"/>
    <w:rsid w:val="00BE5804"/>
    <w:rsid w:val="00BE58A7"/>
    <w:rsid w:val="00BE5C59"/>
    <w:rsid w:val="00BE61E7"/>
    <w:rsid w:val="00BE6635"/>
    <w:rsid w:val="00BE69B9"/>
    <w:rsid w:val="00BE73CE"/>
    <w:rsid w:val="00BE7C5E"/>
    <w:rsid w:val="00BF010E"/>
    <w:rsid w:val="00BF0128"/>
    <w:rsid w:val="00BF0AB4"/>
    <w:rsid w:val="00BF0B52"/>
    <w:rsid w:val="00BF0F7E"/>
    <w:rsid w:val="00BF0F93"/>
    <w:rsid w:val="00BF130C"/>
    <w:rsid w:val="00BF1502"/>
    <w:rsid w:val="00BF2218"/>
    <w:rsid w:val="00BF224A"/>
    <w:rsid w:val="00BF2425"/>
    <w:rsid w:val="00BF2519"/>
    <w:rsid w:val="00BF25AF"/>
    <w:rsid w:val="00BF3235"/>
    <w:rsid w:val="00BF3476"/>
    <w:rsid w:val="00BF358C"/>
    <w:rsid w:val="00BF42C3"/>
    <w:rsid w:val="00BF42CE"/>
    <w:rsid w:val="00BF43EA"/>
    <w:rsid w:val="00BF449D"/>
    <w:rsid w:val="00BF46B1"/>
    <w:rsid w:val="00BF4A02"/>
    <w:rsid w:val="00BF4C13"/>
    <w:rsid w:val="00BF4C9C"/>
    <w:rsid w:val="00BF5217"/>
    <w:rsid w:val="00BF546F"/>
    <w:rsid w:val="00BF5CD1"/>
    <w:rsid w:val="00BF5E3E"/>
    <w:rsid w:val="00BF5EC3"/>
    <w:rsid w:val="00BF6192"/>
    <w:rsid w:val="00BF623C"/>
    <w:rsid w:val="00BF6589"/>
    <w:rsid w:val="00BF665C"/>
    <w:rsid w:val="00BF6E9C"/>
    <w:rsid w:val="00BF7287"/>
    <w:rsid w:val="00BF7F9E"/>
    <w:rsid w:val="00C0104F"/>
    <w:rsid w:val="00C0170B"/>
    <w:rsid w:val="00C0216F"/>
    <w:rsid w:val="00C024DD"/>
    <w:rsid w:val="00C029C6"/>
    <w:rsid w:val="00C03339"/>
    <w:rsid w:val="00C03982"/>
    <w:rsid w:val="00C03A3A"/>
    <w:rsid w:val="00C03F64"/>
    <w:rsid w:val="00C0426B"/>
    <w:rsid w:val="00C045DF"/>
    <w:rsid w:val="00C04820"/>
    <w:rsid w:val="00C04B1A"/>
    <w:rsid w:val="00C04C4B"/>
    <w:rsid w:val="00C0509D"/>
    <w:rsid w:val="00C0568C"/>
    <w:rsid w:val="00C06183"/>
    <w:rsid w:val="00C064C0"/>
    <w:rsid w:val="00C07247"/>
    <w:rsid w:val="00C07A4E"/>
    <w:rsid w:val="00C07A5C"/>
    <w:rsid w:val="00C07C75"/>
    <w:rsid w:val="00C1015C"/>
    <w:rsid w:val="00C10502"/>
    <w:rsid w:val="00C1077A"/>
    <w:rsid w:val="00C11FF1"/>
    <w:rsid w:val="00C121B0"/>
    <w:rsid w:val="00C13773"/>
    <w:rsid w:val="00C13B5D"/>
    <w:rsid w:val="00C1473C"/>
    <w:rsid w:val="00C14A7F"/>
    <w:rsid w:val="00C14BC7"/>
    <w:rsid w:val="00C15B37"/>
    <w:rsid w:val="00C16028"/>
    <w:rsid w:val="00C16547"/>
    <w:rsid w:val="00C165EF"/>
    <w:rsid w:val="00C16F59"/>
    <w:rsid w:val="00C17488"/>
    <w:rsid w:val="00C17B06"/>
    <w:rsid w:val="00C17B41"/>
    <w:rsid w:val="00C17E3C"/>
    <w:rsid w:val="00C17F4A"/>
    <w:rsid w:val="00C21232"/>
    <w:rsid w:val="00C2139B"/>
    <w:rsid w:val="00C215E9"/>
    <w:rsid w:val="00C21FB7"/>
    <w:rsid w:val="00C226A8"/>
    <w:rsid w:val="00C22C79"/>
    <w:rsid w:val="00C23513"/>
    <w:rsid w:val="00C23C6E"/>
    <w:rsid w:val="00C24A3F"/>
    <w:rsid w:val="00C2578F"/>
    <w:rsid w:val="00C25A3B"/>
    <w:rsid w:val="00C25FC7"/>
    <w:rsid w:val="00C2619F"/>
    <w:rsid w:val="00C265CD"/>
    <w:rsid w:val="00C265EA"/>
    <w:rsid w:val="00C26644"/>
    <w:rsid w:val="00C26D43"/>
    <w:rsid w:val="00C26FAA"/>
    <w:rsid w:val="00C27145"/>
    <w:rsid w:val="00C27A0B"/>
    <w:rsid w:val="00C305AC"/>
    <w:rsid w:val="00C306D9"/>
    <w:rsid w:val="00C30721"/>
    <w:rsid w:val="00C31131"/>
    <w:rsid w:val="00C31222"/>
    <w:rsid w:val="00C3234B"/>
    <w:rsid w:val="00C32CAB"/>
    <w:rsid w:val="00C3344A"/>
    <w:rsid w:val="00C3388F"/>
    <w:rsid w:val="00C338B2"/>
    <w:rsid w:val="00C33A17"/>
    <w:rsid w:val="00C33B6A"/>
    <w:rsid w:val="00C33CC9"/>
    <w:rsid w:val="00C33E7C"/>
    <w:rsid w:val="00C342B4"/>
    <w:rsid w:val="00C34AA8"/>
    <w:rsid w:val="00C34B35"/>
    <w:rsid w:val="00C34D82"/>
    <w:rsid w:val="00C34DA4"/>
    <w:rsid w:val="00C35025"/>
    <w:rsid w:val="00C35173"/>
    <w:rsid w:val="00C352A6"/>
    <w:rsid w:val="00C356D5"/>
    <w:rsid w:val="00C35B7D"/>
    <w:rsid w:val="00C3631A"/>
    <w:rsid w:val="00C3672D"/>
    <w:rsid w:val="00C36E0F"/>
    <w:rsid w:val="00C36F70"/>
    <w:rsid w:val="00C36FEC"/>
    <w:rsid w:val="00C37387"/>
    <w:rsid w:val="00C37396"/>
    <w:rsid w:val="00C376AD"/>
    <w:rsid w:val="00C402B2"/>
    <w:rsid w:val="00C403B4"/>
    <w:rsid w:val="00C40981"/>
    <w:rsid w:val="00C40C28"/>
    <w:rsid w:val="00C40E70"/>
    <w:rsid w:val="00C41121"/>
    <w:rsid w:val="00C41598"/>
    <w:rsid w:val="00C41C79"/>
    <w:rsid w:val="00C41E4A"/>
    <w:rsid w:val="00C41EDD"/>
    <w:rsid w:val="00C41EF3"/>
    <w:rsid w:val="00C42CC2"/>
    <w:rsid w:val="00C42F6D"/>
    <w:rsid w:val="00C44334"/>
    <w:rsid w:val="00C444A4"/>
    <w:rsid w:val="00C45622"/>
    <w:rsid w:val="00C45686"/>
    <w:rsid w:val="00C45ECD"/>
    <w:rsid w:val="00C45F68"/>
    <w:rsid w:val="00C462AD"/>
    <w:rsid w:val="00C46548"/>
    <w:rsid w:val="00C46704"/>
    <w:rsid w:val="00C46754"/>
    <w:rsid w:val="00C46E28"/>
    <w:rsid w:val="00C475B8"/>
    <w:rsid w:val="00C47965"/>
    <w:rsid w:val="00C47A6A"/>
    <w:rsid w:val="00C47C10"/>
    <w:rsid w:val="00C47F85"/>
    <w:rsid w:val="00C50010"/>
    <w:rsid w:val="00C502CD"/>
    <w:rsid w:val="00C5036A"/>
    <w:rsid w:val="00C50601"/>
    <w:rsid w:val="00C50ABA"/>
    <w:rsid w:val="00C50E06"/>
    <w:rsid w:val="00C50FB5"/>
    <w:rsid w:val="00C5169B"/>
    <w:rsid w:val="00C519C1"/>
    <w:rsid w:val="00C51EF3"/>
    <w:rsid w:val="00C520A0"/>
    <w:rsid w:val="00C52A67"/>
    <w:rsid w:val="00C53A86"/>
    <w:rsid w:val="00C53C68"/>
    <w:rsid w:val="00C53F12"/>
    <w:rsid w:val="00C543CE"/>
    <w:rsid w:val="00C54A04"/>
    <w:rsid w:val="00C54A7F"/>
    <w:rsid w:val="00C54B30"/>
    <w:rsid w:val="00C54B40"/>
    <w:rsid w:val="00C54FBD"/>
    <w:rsid w:val="00C553DC"/>
    <w:rsid w:val="00C554EF"/>
    <w:rsid w:val="00C555E7"/>
    <w:rsid w:val="00C564BC"/>
    <w:rsid w:val="00C568E0"/>
    <w:rsid w:val="00C56EEA"/>
    <w:rsid w:val="00C57399"/>
    <w:rsid w:val="00C574D5"/>
    <w:rsid w:val="00C578C8"/>
    <w:rsid w:val="00C57B93"/>
    <w:rsid w:val="00C57C51"/>
    <w:rsid w:val="00C57C67"/>
    <w:rsid w:val="00C60136"/>
    <w:rsid w:val="00C604BF"/>
    <w:rsid w:val="00C604EF"/>
    <w:rsid w:val="00C610E6"/>
    <w:rsid w:val="00C61437"/>
    <w:rsid w:val="00C61494"/>
    <w:rsid w:val="00C61851"/>
    <w:rsid w:val="00C61900"/>
    <w:rsid w:val="00C6358E"/>
    <w:rsid w:val="00C63DF1"/>
    <w:rsid w:val="00C646CC"/>
    <w:rsid w:val="00C64763"/>
    <w:rsid w:val="00C647BF"/>
    <w:rsid w:val="00C64F05"/>
    <w:rsid w:val="00C652E3"/>
    <w:rsid w:val="00C6547E"/>
    <w:rsid w:val="00C65705"/>
    <w:rsid w:val="00C65B93"/>
    <w:rsid w:val="00C66F02"/>
    <w:rsid w:val="00C67595"/>
    <w:rsid w:val="00C67A35"/>
    <w:rsid w:val="00C67D19"/>
    <w:rsid w:val="00C67ECE"/>
    <w:rsid w:val="00C70140"/>
    <w:rsid w:val="00C70E86"/>
    <w:rsid w:val="00C71239"/>
    <w:rsid w:val="00C714EC"/>
    <w:rsid w:val="00C716CF"/>
    <w:rsid w:val="00C719EB"/>
    <w:rsid w:val="00C72129"/>
    <w:rsid w:val="00C729F7"/>
    <w:rsid w:val="00C72A4C"/>
    <w:rsid w:val="00C72BE8"/>
    <w:rsid w:val="00C72C29"/>
    <w:rsid w:val="00C73917"/>
    <w:rsid w:val="00C73A60"/>
    <w:rsid w:val="00C73EB0"/>
    <w:rsid w:val="00C73F32"/>
    <w:rsid w:val="00C74031"/>
    <w:rsid w:val="00C746FB"/>
    <w:rsid w:val="00C74803"/>
    <w:rsid w:val="00C74997"/>
    <w:rsid w:val="00C749A1"/>
    <w:rsid w:val="00C74A42"/>
    <w:rsid w:val="00C74EB2"/>
    <w:rsid w:val="00C74FE3"/>
    <w:rsid w:val="00C7510A"/>
    <w:rsid w:val="00C75744"/>
    <w:rsid w:val="00C7579B"/>
    <w:rsid w:val="00C75912"/>
    <w:rsid w:val="00C76704"/>
    <w:rsid w:val="00C76AFE"/>
    <w:rsid w:val="00C7715A"/>
    <w:rsid w:val="00C80704"/>
    <w:rsid w:val="00C80901"/>
    <w:rsid w:val="00C80A07"/>
    <w:rsid w:val="00C80F10"/>
    <w:rsid w:val="00C81131"/>
    <w:rsid w:val="00C817A3"/>
    <w:rsid w:val="00C81907"/>
    <w:rsid w:val="00C81BF0"/>
    <w:rsid w:val="00C8207E"/>
    <w:rsid w:val="00C825B4"/>
    <w:rsid w:val="00C82A93"/>
    <w:rsid w:val="00C833CD"/>
    <w:rsid w:val="00C83C5F"/>
    <w:rsid w:val="00C83D19"/>
    <w:rsid w:val="00C83F18"/>
    <w:rsid w:val="00C84817"/>
    <w:rsid w:val="00C84890"/>
    <w:rsid w:val="00C84ECD"/>
    <w:rsid w:val="00C85C7A"/>
    <w:rsid w:val="00C861BC"/>
    <w:rsid w:val="00C868EA"/>
    <w:rsid w:val="00C86B09"/>
    <w:rsid w:val="00C872FD"/>
    <w:rsid w:val="00C87462"/>
    <w:rsid w:val="00C876E6"/>
    <w:rsid w:val="00C87D7C"/>
    <w:rsid w:val="00C87EC8"/>
    <w:rsid w:val="00C901C7"/>
    <w:rsid w:val="00C90E44"/>
    <w:rsid w:val="00C90F4B"/>
    <w:rsid w:val="00C91138"/>
    <w:rsid w:val="00C91E47"/>
    <w:rsid w:val="00C91F5F"/>
    <w:rsid w:val="00C9208B"/>
    <w:rsid w:val="00C930CA"/>
    <w:rsid w:val="00C9331D"/>
    <w:rsid w:val="00C936B5"/>
    <w:rsid w:val="00C93808"/>
    <w:rsid w:val="00C93D59"/>
    <w:rsid w:val="00C94BFB"/>
    <w:rsid w:val="00C94C74"/>
    <w:rsid w:val="00C952E5"/>
    <w:rsid w:val="00C953A5"/>
    <w:rsid w:val="00C9638E"/>
    <w:rsid w:val="00C969C5"/>
    <w:rsid w:val="00C96A31"/>
    <w:rsid w:val="00C96D2E"/>
    <w:rsid w:val="00C9701E"/>
    <w:rsid w:val="00C976A6"/>
    <w:rsid w:val="00C977FE"/>
    <w:rsid w:val="00C97CF7"/>
    <w:rsid w:val="00C97EBD"/>
    <w:rsid w:val="00CA0562"/>
    <w:rsid w:val="00CA0591"/>
    <w:rsid w:val="00CA0935"/>
    <w:rsid w:val="00CA0AF4"/>
    <w:rsid w:val="00CA162F"/>
    <w:rsid w:val="00CA167D"/>
    <w:rsid w:val="00CA180C"/>
    <w:rsid w:val="00CA1E0D"/>
    <w:rsid w:val="00CA235B"/>
    <w:rsid w:val="00CA27E9"/>
    <w:rsid w:val="00CA29E7"/>
    <w:rsid w:val="00CA3352"/>
    <w:rsid w:val="00CA3602"/>
    <w:rsid w:val="00CA37C4"/>
    <w:rsid w:val="00CA3B56"/>
    <w:rsid w:val="00CA3BB3"/>
    <w:rsid w:val="00CA438A"/>
    <w:rsid w:val="00CA43A3"/>
    <w:rsid w:val="00CA4B0D"/>
    <w:rsid w:val="00CA5989"/>
    <w:rsid w:val="00CA5CB2"/>
    <w:rsid w:val="00CA5DFA"/>
    <w:rsid w:val="00CA5FFA"/>
    <w:rsid w:val="00CA642E"/>
    <w:rsid w:val="00CA6623"/>
    <w:rsid w:val="00CA6C1A"/>
    <w:rsid w:val="00CA7FD5"/>
    <w:rsid w:val="00CB01F2"/>
    <w:rsid w:val="00CB02D2"/>
    <w:rsid w:val="00CB03E0"/>
    <w:rsid w:val="00CB0A32"/>
    <w:rsid w:val="00CB0C3B"/>
    <w:rsid w:val="00CB0E61"/>
    <w:rsid w:val="00CB0FAE"/>
    <w:rsid w:val="00CB0FB6"/>
    <w:rsid w:val="00CB1260"/>
    <w:rsid w:val="00CB144E"/>
    <w:rsid w:val="00CB19F7"/>
    <w:rsid w:val="00CB2058"/>
    <w:rsid w:val="00CB2137"/>
    <w:rsid w:val="00CB21C5"/>
    <w:rsid w:val="00CB22B2"/>
    <w:rsid w:val="00CB26D8"/>
    <w:rsid w:val="00CB27FB"/>
    <w:rsid w:val="00CB2C2C"/>
    <w:rsid w:val="00CB2E68"/>
    <w:rsid w:val="00CB334D"/>
    <w:rsid w:val="00CB33E7"/>
    <w:rsid w:val="00CB42CB"/>
    <w:rsid w:val="00CB4718"/>
    <w:rsid w:val="00CB49B0"/>
    <w:rsid w:val="00CB4AAD"/>
    <w:rsid w:val="00CB4EFF"/>
    <w:rsid w:val="00CB5035"/>
    <w:rsid w:val="00CB5351"/>
    <w:rsid w:val="00CB5396"/>
    <w:rsid w:val="00CB5445"/>
    <w:rsid w:val="00CB568C"/>
    <w:rsid w:val="00CB57C7"/>
    <w:rsid w:val="00CB687B"/>
    <w:rsid w:val="00CB7CF1"/>
    <w:rsid w:val="00CB7F2F"/>
    <w:rsid w:val="00CC1256"/>
    <w:rsid w:val="00CC1566"/>
    <w:rsid w:val="00CC1AAA"/>
    <w:rsid w:val="00CC229D"/>
    <w:rsid w:val="00CC29F1"/>
    <w:rsid w:val="00CC2BCC"/>
    <w:rsid w:val="00CC3934"/>
    <w:rsid w:val="00CC3D50"/>
    <w:rsid w:val="00CC3EE2"/>
    <w:rsid w:val="00CC447D"/>
    <w:rsid w:val="00CC505F"/>
    <w:rsid w:val="00CC59BF"/>
    <w:rsid w:val="00CC5A86"/>
    <w:rsid w:val="00CC5E99"/>
    <w:rsid w:val="00CC5F46"/>
    <w:rsid w:val="00CC6185"/>
    <w:rsid w:val="00CC655B"/>
    <w:rsid w:val="00CC6666"/>
    <w:rsid w:val="00CC70C9"/>
    <w:rsid w:val="00CC7A74"/>
    <w:rsid w:val="00CD02C9"/>
    <w:rsid w:val="00CD0996"/>
    <w:rsid w:val="00CD1A52"/>
    <w:rsid w:val="00CD20AE"/>
    <w:rsid w:val="00CD2676"/>
    <w:rsid w:val="00CD2755"/>
    <w:rsid w:val="00CD2C4B"/>
    <w:rsid w:val="00CD2C4F"/>
    <w:rsid w:val="00CD32C3"/>
    <w:rsid w:val="00CD3926"/>
    <w:rsid w:val="00CD3C05"/>
    <w:rsid w:val="00CD3C0E"/>
    <w:rsid w:val="00CD3D6D"/>
    <w:rsid w:val="00CD461A"/>
    <w:rsid w:val="00CD4984"/>
    <w:rsid w:val="00CD525A"/>
    <w:rsid w:val="00CD543C"/>
    <w:rsid w:val="00CD573C"/>
    <w:rsid w:val="00CD61E6"/>
    <w:rsid w:val="00CD6BC9"/>
    <w:rsid w:val="00CD6E6E"/>
    <w:rsid w:val="00CD7085"/>
    <w:rsid w:val="00CD7093"/>
    <w:rsid w:val="00CD70A4"/>
    <w:rsid w:val="00CD70DA"/>
    <w:rsid w:val="00CD7126"/>
    <w:rsid w:val="00CD7492"/>
    <w:rsid w:val="00CD7BD3"/>
    <w:rsid w:val="00CD7C62"/>
    <w:rsid w:val="00CE036F"/>
    <w:rsid w:val="00CE0607"/>
    <w:rsid w:val="00CE082D"/>
    <w:rsid w:val="00CE0A7A"/>
    <w:rsid w:val="00CE1082"/>
    <w:rsid w:val="00CE1DE3"/>
    <w:rsid w:val="00CE2056"/>
    <w:rsid w:val="00CE2731"/>
    <w:rsid w:val="00CE27C5"/>
    <w:rsid w:val="00CE280B"/>
    <w:rsid w:val="00CE2DFE"/>
    <w:rsid w:val="00CE2E3D"/>
    <w:rsid w:val="00CE33BF"/>
    <w:rsid w:val="00CE354C"/>
    <w:rsid w:val="00CE362E"/>
    <w:rsid w:val="00CE37D1"/>
    <w:rsid w:val="00CE3A6B"/>
    <w:rsid w:val="00CE3BE5"/>
    <w:rsid w:val="00CE3EAB"/>
    <w:rsid w:val="00CE481F"/>
    <w:rsid w:val="00CE48F1"/>
    <w:rsid w:val="00CE52B2"/>
    <w:rsid w:val="00CE5544"/>
    <w:rsid w:val="00CE59C6"/>
    <w:rsid w:val="00CE5D35"/>
    <w:rsid w:val="00CE5F72"/>
    <w:rsid w:val="00CE6010"/>
    <w:rsid w:val="00CE6360"/>
    <w:rsid w:val="00CE636F"/>
    <w:rsid w:val="00CE6AEE"/>
    <w:rsid w:val="00CE70B9"/>
    <w:rsid w:val="00CE7129"/>
    <w:rsid w:val="00CE762A"/>
    <w:rsid w:val="00CE7CE6"/>
    <w:rsid w:val="00CF0245"/>
    <w:rsid w:val="00CF0A5D"/>
    <w:rsid w:val="00CF170B"/>
    <w:rsid w:val="00CF21D4"/>
    <w:rsid w:val="00CF22CB"/>
    <w:rsid w:val="00CF2A6F"/>
    <w:rsid w:val="00CF2BE7"/>
    <w:rsid w:val="00CF2DE5"/>
    <w:rsid w:val="00CF2EFF"/>
    <w:rsid w:val="00CF309A"/>
    <w:rsid w:val="00CF310E"/>
    <w:rsid w:val="00CF3595"/>
    <w:rsid w:val="00CF3A65"/>
    <w:rsid w:val="00CF3A6F"/>
    <w:rsid w:val="00CF4D13"/>
    <w:rsid w:val="00CF5259"/>
    <w:rsid w:val="00CF5A47"/>
    <w:rsid w:val="00CF6362"/>
    <w:rsid w:val="00CF68E3"/>
    <w:rsid w:val="00CF6D32"/>
    <w:rsid w:val="00CF7064"/>
    <w:rsid w:val="00CF71C5"/>
    <w:rsid w:val="00CF7456"/>
    <w:rsid w:val="00CF7B5F"/>
    <w:rsid w:val="00D00211"/>
    <w:rsid w:val="00D00353"/>
    <w:rsid w:val="00D006D1"/>
    <w:rsid w:val="00D00819"/>
    <w:rsid w:val="00D00900"/>
    <w:rsid w:val="00D009A2"/>
    <w:rsid w:val="00D00B17"/>
    <w:rsid w:val="00D00E29"/>
    <w:rsid w:val="00D014C4"/>
    <w:rsid w:val="00D015E2"/>
    <w:rsid w:val="00D017A2"/>
    <w:rsid w:val="00D01A4F"/>
    <w:rsid w:val="00D025AE"/>
    <w:rsid w:val="00D02CB3"/>
    <w:rsid w:val="00D02D09"/>
    <w:rsid w:val="00D02D31"/>
    <w:rsid w:val="00D02FCC"/>
    <w:rsid w:val="00D03347"/>
    <w:rsid w:val="00D03CF6"/>
    <w:rsid w:val="00D03EED"/>
    <w:rsid w:val="00D0460C"/>
    <w:rsid w:val="00D0494A"/>
    <w:rsid w:val="00D04DD8"/>
    <w:rsid w:val="00D05732"/>
    <w:rsid w:val="00D0627E"/>
    <w:rsid w:val="00D06309"/>
    <w:rsid w:val="00D06708"/>
    <w:rsid w:val="00D06D1A"/>
    <w:rsid w:val="00D07A43"/>
    <w:rsid w:val="00D10128"/>
    <w:rsid w:val="00D10D00"/>
    <w:rsid w:val="00D112C0"/>
    <w:rsid w:val="00D126A0"/>
    <w:rsid w:val="00D13071"/>
    <w:rsid w:val="00D13087"/>
    <w:rsid w:val="00D14221"/>
    <w:rsid w:val="00D14874"/>
    <w:rsid w:val="00D148BE"/>
    <w:rsid w:val="00D14943"/>
    <w:rsid w:val="00D14988"/>
    <w:rsid w:val="00D14DDB"/>
    <w:rsid w:val="00D14ED4"/>
    <w:rsid w:val="00D14F7E"/>
    <w:rsid w:val="00D1502C"/>
    <w:rsid w:val="00D15237"/>
    <w:rsid w:val="00D15422"/>
    <w:rsid w:val="00D15633"/>
    <w:rsid w:val="00D15CB1"/>
    <w:rsid w:val="00D15D38"/>
    <w:rsid w:val="00D15E85"/>
    <w:rsid w:val="00D15FD0"/>
    <w:rsid w:val="00D16288"/>
    <w:rsid w:val="00D16511"/>
    <w:rsid w:val="00D173EC"/>
    <w:rsid w:val="00D17B55"/>
    <w:rsid w:val="00D200F9"/>
    <w:rsid w:val="00D2015D"/>
    <w:rsid w:val="00D20FA9"/>
    <w:rsid w:val="00D21537"/>
    <w:rsid w:val="00D21701"/>
    <w:rsid w:val="00D21B42"/>
    <w:rsid w:val="00D21F98"/>
    <w:rsid w:val="00D22821"/>
    <w:rsid w:val="00D2296D"/>
    <w:rsid w:val="00D229FC"/>
    <w:rsid w:val="00D2457D"/>
    <w:rsid w:val="00D24B07"/>
    <w:rsid w:val="00D24BA5"/>
    <w:rsid w:val="00D24D79"/>
    <w:rsid w:val="00D250C4"/>
    <w:rsid w:val="00D259F6"/>
    <w:rsid w:val="00D2670A"/>
    <w:rsid w:val="00D26C12"/>
    <w:rsid w:val="00D26C6E"/>
    <w:rsid w:val="00D2724B"/>
    <w:rsid w:val="00D276EE"/>
    <w:rsid w:val="00D27831"/>
    <w:rsid w:val="00D27D7C"/>
    <w:rsid w:val="00D30146"/>
    <w:rsid w:val="00D303DD"/>
    <w:rsid w:val="00D30531"/>
    <w:rsid w:val="00D3142D"/>
    <w:rsid w:val="00D31677"/>
    <w:rsid w:val="00D31C6A"/>
    <w:rsid w:val="00D32784"/>
    <w:rsid w:val="00D32C83"/>
    <w:rsid w:val="00D332F1"/>
    <w:rsid w:val="00D33BD5"/>
    <w:rsid w:val="00D33D99"/>
    <w:rsid w:val="00D349CF"/>
    <w:rsid w:val="00D351EA"/>
    <w:rsid w:val="00D354B8"/>
    <w:rsid w:val="00D35854"/>
    <w:rsid w:val="00D35D65"/>
    <w:rsid w:val="00D35DDE"/>
    <w:rsid w:val="00D3677F"/>
    <w:rsid w:val="00D36DA1"/>
    <w:rsid w:val="00D36F7C"/>
    <w:rsid w:val="00D37ADE"/>
    <w:rsid w:val="00D37DC2"/>
    <w:rsid w:val="00D40288"/>
    <w:rsid w:val="00D40AB0"/>
    <w:rsid w:val="00D40CAF"/>
    <w:rsid w:val="00D41264"/>
    <w:rsid w:val="00D41340"/>
    <w:rsid w:val="00D4144E"/>
    <w:rsid w:val="00D4146F"/>
    <w:rsid w:val="00D41C4B"/>
    <w:rsid w:val="00D4213B"/>
    <w:rsid w:val="00D42C71"/>
    <w:rsid w:val="00D432D6"/>
    <w:rsid w:val="00D43403"/>
    <w:rsid w:val="00D4351E"/>
    <w:rsid w:val="00D4471C"/>
    <w:rsid w:val="00D448EA"/>
    <w:rsid w:val="00D44FE7"/>
    <w:rsid w:val="00D45423"/>
    <w:rsid w:val="00D4556B"/>
    <w:rsid w:val="00D45678"/>
    <w:rsid w:val="00D45EC7"/>
    <w:rsid w:val="00D46255"/>
    <w:rsid w:val="00D46704"/>
    <w:rsid w:val="00D46A9C"/>
    <w:rsid w:val="00D47CFD"/>
    <w:rsid w:val="00D50149"/>
    <w:rsid w:val="00D50563"/>
    <w:rsid w:val="00D50A6B"/>
    <w:rsid w:val="00D50B64"/>
    <w:rsid w:val="00D50E00"/>
    <w:rsid w:val="00D50E08"/>
    <w:rsid w:val="00D51883"/>
    <w:rsid w:val="00D51D79"/>
    <w:rsid w:val="00D5270B"/>
    <w:rsid w:val="00D532FB"/>
    <w:rsid w:val="00D533FA"/>
    <w:rsid w:val="00D53968"/>
    <w:rsid w:val="00D53C3B"/>
    <w:rsid w:val="00D53CCD"/>
    <w:rsid w:val="00D541E0"/>
    <w:rsid w:val="00D541FE"/>
    <w:rsid w:val="00D54FD1"/>
    <w:rsid w:val="00D55463"/>
    <w:rsid w:val="00D5572E"/>
    <w:rsid w:val="00D557A8"/>
    <w:rsid w:val="00D558A8"/>
    <w:rsid w:val="00D55BA1"/>
    <w:rsid w:val="00D56627"/>
    <w:rsid w:val="00D566CD"/>
    <w:rsid w:val="00D56D28"/>
    <w:rsid w:val="00D5709E"/>
    <w:rsid w:val="00D571DD"/>
    <w:rsid w:val="00D57712"/>
    <w:rsid w:val="00D579F7"/>
    <w:rsid w:val="00D57CDC"/>
    <w:rsid w:val="00D57F33"/>
    <w:rsid w:val="00D604AB"/>
    <w:rsid w:val="00D606F5"/>
    <w:rsid w:val="00D607B7"/>
    <w:rsid w:val="00D60C15"/>
    <w:rsid w:val="00D60D8D"/>
    <w:rsid w:val="00D60FED"/>
    <w:rsid w:val="00D61105"/>
    <w:rsid w:val="00D61315"/>
    <w:rsid w:val="00D61828"/>
    <w:rsid w:val="00D619C9"/>
    <w:rsid w:val="00D6235D"/>
    <w:rsid w:val="00D624A2"/>
    <w:rsid w:val="00D62E71"/>
    <w:rsid w:val="00D63259"/>
    <w:rsid w:val="00D6430D"/>
    <w:rsid w:val="00D64613"/>
    <w:rsid w:val="00D647D9"/>
    <w:rsid w:val="00D64BF1"/>
    <w:rsid w:val="00D64D40"/>
    <w:rsid w:val="00D650B8"/>
    <w:rsid w:val="00D65882"/>
    <w:rsid w:val="00D65D45"/>
    <w:rsid w:val="00D65D70"/>
    <w:rsid w:val="00D65E6F"/>
    <w:rsid w:val="00D66188"/>
    <w:rsid w:val="00D661C0"/>
    <w:rsid w:val="00D6694E"/>
    <w:rsid w:val="00D66FB3"/>
    <w:rsid w:val="00D671D6"/>
    <w:rsid w:val="00D676EF"/>
    <w:rsid w:val="00D702DF"/>
    <w:rsid w:val="00D7045A"/>
    <w:rsid w:val="00D70B7D"/>
    <w:rsid w:val="00D70B87"/>
    <w:rsid w:val="00D71614"/>
    <w:rsid w:val="00D7167F"/>
    <w:rsid w:val="00D718A2"/>
    <w:rsid w:val="00D718D6"/>
    <w:rsid w:val="00D71A9E"/>
    <w:rsid w:val="00D722B7"/>
    <w:rsid w:val="00D731F6"/>
    <w:rsid w:val="00D736DA"/>
    <w:rsid w:val="00D740CA"/>
    <w:rsid w:val="00D7478D"/>
    <w:rsid w:val="00D748EA"/>
    <w:rsid w:val="00D74CD0"/>
    <w:rsid w:val="00D75B58"/>
    <w:rsid w:val="00D75DBF"/>
    <w:rsid w:val="00D761D2"/>
    <w:rsid w:val="00D76476"/>
    <w:rsid w:val="00D76744"/>
    <w:rsid w:val="00D76BB2"/>
    <w:rsid w:val="00D771BD"/>
    <w:rsid w:val="00D77449"/>
    <w:rsid w:val="00D777F5"/>
    <w:rsid w:val="00D77A48"/>
    <w:rsid w:val="00D77B83"/>
    <w:rsid w:val="00D77CDA"/>
    <w:rsid w:val="00D77FCB"/>
    <w:rsid w:val="00D809C4"/>
    <w:rsid w:val="00D813A5"/>
    <w:rsid w:val="00D813AB"/>
    <w:rsid w:val="00D81952"/>
    <w:rsid w:val="00D81E88"/>
    <w:rsid w:val="00D82032"/>
    <w:rsid w:val="00D826D0"/>
    <w:rsid w:val="00D83627"/>
    <w:rsid w:val="00D8381C"/>
    <w:rsid w:val="00D8396F"/>
    <w:rsid w:val="00D841BC"/>
    <w:rsid w:val="00D842A2"/>
    <w:rsid w:val="00D84709"/>
    <w:rsid w:val="00D84B55"/>
    <w:rsid w:val="00D84E90"/>
    <w:rsid w:val="00D85728"/>
    <w:rsid w:val="00D85BA1"/>
    <w:rsid w:val="00D85E58"/>
    <w:rsid w:val="00D862EE"/>
    <w:rsid w:val="00D8690F"/>
    <w:rsid w:val="00D87DFB"/>
    <w:rsid w:val="00D90197"/>
    <w:rsid w:val="00D91758"/>
    <w:rsid w:val="00D917C2"/>
    <w:rsid w:val="00D922CB"/>
    <w:rsid w:val="00D92864"/>
    <w:rsid w:val="00D92A11"/>
    <w:rsid w:val="00D92AE2"/>
    <w:rsid w:val="00D92EBC"/>
    <w:rsid w:val="00D93130"/>
    <w:rsid w:val="00D932E8"/>
    <w:rsid w:val="00D9383C"/>
    <w:rsid w:val="00D94048"/>
    <w:rsid w:val="00D949AB"/>
    <w:rsid w:val="00D94C1E"/>
    <w:rsid w:val="00D94DB8"/>
    <w:rsid w:val="00D94F0C"/>
    <w:rsid w:val="00D94F37"/>
    <w:rsid w:val="00D95481"/>
    <w:rsid w:val="00D9548F"/>
    <w:rsid w:val="00D95ECB"/>
    <w:rsid w:val="00D9752A"/>
    <w:rsid w:val="00D9786A"/>
    <w:rsid w:val="00DA080C"/>
    <w:rsid w:val="00DA0F58"/>
    <w:rsid w:val="00DA1030"/>
    <w:rsid w:val="00DA26FE"/>
    <w:rsid w:val="00DA2844"/>
    <w:rsid w:val="00DA2883"/>
    <w:rsid w:val="00DA2C6A"/>
    <w:rsid w:val="00DA2D04"/>
    <w:rsid w:val="00DA3153"/>
    <w:rsid w:val="00DA3981"/>
    <w:rsid w:val="00DA3BCF"/>
    <w:rsid w:val="00DA3D7E"/>
    <w:rsid w:val="00DA4058"/>
    <w:rsid w:val="00DA4107"/>
    <w:rsid w:val="00DA47F4"/>
    <w:rsid w:val="00DA4EE7"/>
    <w:rsid w:val="00DA5653"/>
    <w:rsid w:val="00DA5745"/>
    <w:rsid w:val="00DA582E"/>
    <w:rsid w:val="00DA5BEC"/>
    <w:rsid w:val="00DA5F43"/>
    <w:rsid w:val="00DA6098"/>
    <w:rsid w:val="00DA64B2"/>
    <w:rsid w:val="00DA6558"/>
    <w:rsid w:val="00DA66E3"/>
    <w:rsid w:val="00DA70DA"/>
    <w:rsid w:val="00DA735E"/>
    <w:rsid w:val="00DA743E"/>
    <w:rsid w:val="00DA79C2"/>
    <w:rsid w:val="00DA7AF6"/>
    <w:rsid w:val="00DB009E"/>
    <w:rsid w:val="00DB08A2"/>
    <w:rsid w:val="00DB0966"/>
    <w:rsid w:val="00DB0EC4"/>
    <w:rsid w:val="00DB0F9C"/>
    <w:rsid w:val="00DB12E1"/>
    <w:rsid w:val="00DB12EA"/>
    <w:rsid w:val="00DB170A"/>
    <w:rsid w:val="00DB18E8"/>
    <w:rsid w:val="00DB2001"/>
    <w:rsid w:val="00DB2B3C"/>
    <w:rsid w:val="00DB3546"/>
    <w:rsid w:val="00DB35E0"/>
    <w:rsid w:val="00DB3646"/>
    <w:rsid w:val="00DB3664"/>
    <w:rsid w:val="00DB395E"/>
    <w:rsid w:val="00DB3CF4"/>
    <w:rsid w:val="00DB3DBA"/>
    <w:rsid w:val="00DB470B"/>
    <w:rsid w:val="00DB48EE"/>
    <w:rsid w:val="00DB49CA"/>
    <w:rsid w:val="00DB4B11"/>
    <w:rsid w:val="00DB5A6E"/>
    <w:rsid w:val="00DB666A"/>
    <w:rsid w:val="00DB66A0"/>
    <w:rsid w:val="00DB6707"/>
    <w:rsid w:val="00DB68A5"/>
    <w:rsid w:val="00DB68D5"/>
    <w:rsid w:val="00DB6CFC"/>
    <w:rsid w:val="00DB7296"/>
    <w:rsid w:val="00DB7318"/>
    <w:rsid w:val="00DB78AB"/>
    <w:rsid w:val="00DC0844"/>
    <w:rsid w:val="00DC088C"/>
    <w:rsid w:val="00DC0914"/>
    <w:rsid w:val="00DC0F87"/>
    <w:rsid w:val="00DC0FB7"/>
    <w:rsid w:val="00DC258F"/>
    <w:rsid w:val="00DC2661"/>
    <w:rsid w:val="00DC2FC8"/>
    <w:rsid w:val="00DC3684"/>
    <w:rsid w:val="00DC43CC"/>
    <w:rsid w:val="00DC44E6"/>
    <w:rsid w:val="00DC4832"/>
    <w:rsid w:val="00DC54FD"/>
    <w:rsid w:val="00DC58D9"/>
    <w:rsid w:val="00DC774A"/>
    <w:rsid w:val="00DC7A13"/>
    <w:rsid w:val="00DC7C04"/>
    <w:rsid w:val="00DC7C10"/>
    <w:rsid w:val="00DD1A3F"/>
    <w:rsid w:val="00DD1CB0"/>
    <w:rsid w:val="00DD2766"/>
    <w:rsid w:val="00DD2D98"/>
    <w:rsid w:val="00DD3127"/>
    <w:rsid w:val="00DD45A6"/>
    <w:rsid w:val="00DD475B"/>
    <w:rsid w:val="00DD49C8"/>
    <w:rsid w:val="00DD4D46"/>
    <w:rsid w:val="00DD4D54"/>
    <w:rsid w:val="00DD4D57"/>
    <w:rsid w:val="00DD5D6B"/>
    <w:rsid w:val="00DD5E93"/>
    <w:rsid w:val="00DD6546"/>
    <w:rsid w:val="00DD672A"/>
    <w:rsid w:val="00DD6BB0"/>
    <w:rsid w:val="00DD6ED4"/>
    <w:rsid w:val="00DD7856"/>
    <w:rsid w:val="00DE0121"/>
    <w:rsid w:val="00DE03AF"/>
    <w:rsid w:val="00DE03F6"/>
    <w:rsid w:val="00DE1074"/>
    <w:rsid w:val="00DE26F1"/>
    <w:rsid w:val="00DE2BD3"/>
    <w:rsid w:val="00DE2E6E"/>
    <w:rsid w:val="00DE2EA7"/>
    <w:rsid w:val="00DE4BE4"/>
    <w:rsid w:val="00DE4D73"/>
    <w:rsid w:val="00DE5361"/>
    <w:rsid w:val="00DE5767"/>
    <w:rsid w:val="00DE5937"/>
    <w:rsid w:val="00DE61E5"/>
    <w:rsid w:val="00DE6582"/>
    <w:rsid w:val="00DE66D1"/>
    <w:rsid w:val="00DE676C"/>
    <w:rsid w:val="00DE7064"/>
    <w:rsid w:val="00DE72D9"/>
    <w:rsid w:val="00DE73CF"/>
    <w:rsid w:val="00DE7641"/>
    <w:rsid w:val="00DE7DC8"/>
    <w:rsid w:val="00DF06C3"/>
    <w:rsid w:val="00DF08D7"/>
    <w:rsid w:val="00DF097C"/>
    <w:rsid w:val="00DF0D61"/>
    <w:rsid w:val="00DF115F"/>
    <w:rsid w:val="00DF133D"/>
    <w:rsid w:val="00DF13DC"/>
    <w:rsid w:val="00DF171A"/>
    <w:rsid w:val="00DF18A2"/>
    <w:rsid w:val="00DF1A82"/>
    <w:rsid w:val="00DF1C5C"/>
    <w:rsid w:val="00DF1F27"/>
    <w:rsid w:val="00DF21FE"/>
    <w:rsid w:val="00DF2997"/>
    <w:rsid w:val="00DF2B3B"/>
    <w:rsid w:val="00DF2BC7"/>
    <w:rsid w:val="00DF2C23"/>
    <w:rsid w:val="00DF2FA4"/>
    <w:rsid w:val="00DF2FF4"/>
    <w:rsid w:val="00DF32BC"/>
    <w:rsid w:val="00DF3557"/>
    <w:rsid w:val="00DF37D8"/>
    <w:rsid w:val="00DF3890"/>
    <w:rsid w:val="00DF41CE"/>
    <w:rsid w:val="00DF6248"/>
    <w:rsid w:val="00DF624E"/>
    <w:rsid w:val="00DF6534"/>
    <w:rsid w:val="00DF6988"/>
    <w:rsid w:val="00DF6E29"/>
    <w:rsid w:val="00DF72A2"/>
    <w:rsid w:val="00DF73AC"/>
    <w:rsid w:val="00DF7D50"/>
    <w:rsid w:val="00E006E5"/>
    <w:rsid w:val="00E00C6B"/>
    <w:rsid w:val="00E01CE9"/>
    <w:rsid w:val="00E0205C"/>
    <w:rsid w:val="00E02174"/>
    <w:rsid w:val="00E030BF"/>
    <w:rsid w:val="00E03218"/>
    <w:rsid w:val="00E03A6A"/>
    <w:rsid w:val="00E03B8D"/>
    <w:rsid w:val="00E03D58"/>
    <w:rsid w:val="00E04996"/>
    <w:rsid w:val="00E04AE5"/>
    <w:rsid w:val="00E04B3E"/>
    <w:rsid w:val="00E051D8"/>
    <w:rsid w:val="00E057C8"/>
    <w:rsid w:val="00E05ECC"/>
    <w:rsid w:val="00E0610B"/>
    <w:rsid w:val="00E06118"/>
    <w:rsid w:val="00E06882"/>
    <w:rsid w:val="00E06F4F"/>
    <w:rsid w:val="00E0779C"/>
    <w:rsid w:val="00E077D4"/>
    <w:rsid w:val="00E100FF"/>
    <w:rsid w:val="00E1098E"/>
    <w:rsid w:val="00E10AEA"/>
    <w:rsid w:val="00E10AF6"/>
    <w:rsid w:val="00E10BC4"/>
    <w:rsid w:val="00E1141B"/>
    <w:rsid w:val="00E11D2D"/>
    <w:rsid w:val="00E123BD"/>
    <w:rsid w:val="00E1289D"/>
    <w:rsid w:val="00E12B7A"/>
    <w:rsid w:val="00E131C9"/>
    <w:rsid w:val="00E13841"/>
    <w:rsid w:val="00E14003"/>
    <w:rsid w:val="00E1415D"/>
    <w:rsid w:val="00E14837"/>
    <w:rsid w:val="00E14925"/>
    <w:rsid w:val="00E14A26"/>
    <w:rsid w:val="00E14BB5"/>
    <w:rsid w:val="00E14D7A"/>
    <w:rsid w:val="00E16B38"/>
    <w:rsid w:val="00E17603"/>
    <w:rsid w:val="00E176BF"/>
    <w:rsid w:val="00E1775F"/>
    <w:rsid w:val="00E1777B"/>
    <w:rsid w:val="00E20762"/>
    <w:rsid w:val="00E2079B"/>
    <w:rsid w:val="00E20903"/>
    <w:rsid w:val="00E213BD"/>
    <w:rsid w:val="00E21945"/>
    <w:rsid w:val="00E21A78"/>
    <w:rsid w:val="00E22592"/>
    <w:rsid w:val="00E22F5F"/>
    <w:rsid w:val="00E2320E"/>
    <w:rsid w:val="00E2408F"/>
    <w:rsid w:val="00E241B0"/>
    <w:rsid w:val="00E24ABB"/>
    <w:rsid w:val="00E24AD2"/>
    <w:rsid w:val="00E25368"/>
    <w:rsid w:val="00E253A7"/>
    <w:rsid w:val="00E263DD"/>
    <w:rsid w:val="00E26623"/>
    <w:rsid w:val="00E26809"/>
    <w:rsid w:val="00E26FE4"/>
    <w:rsid w:val="00E273D0"/>
    <w:rsid w:val="00E27B38"/>
    <w:rsid w:val="00E27BEC"/>
    <w:rsid w:val="00E27CCD"/>
    <w:rsid w:val="00E27D04"/>
    <w:rsid w:val="00E3202E"/>
    <w:rsid w:val="00E323E9"/>
    <w:rsid w:val="00E32491"/>
    <w:rsid w:val="00E3277E"/>
    <w:rsid w:val="00E329BB"/>
    <w:rsid w:val="00E331EE"/>
    <w:rsid w:val="00E33A3A"/>
    <w:rsid w:val="00E33CC0"/>
    <w:rsid w:val="00E34018"/>
    <w:rsid w:val="00E344B5"/>
    <w:rsid w:val="00E344F0"/>
    <w:rsid w:val="00E348F7"/>
    <w:rsid w:val="00E35068"/>
    <w:rsid w:val="00E35077"/>
    <w:rsid w:val="00E35B39"/>
    <w:rsid w:val="00E35D77"/>
    <w:rsid w:val="00E372A3"/>
    <w:rsid w:val="00E3763A"/>
    <w:rsid w:val="00E37FCB"/>
    <w:rsid w:val="00E4018C"/>
    <w:rsid w:val="00E4083F"/>
    <w:rsid w:val="00E40A70"/>
    <w:rsid w:val="00E40FFF"/>
    <w:rsid w:val="00E414E7"/>
    <w:rsid w:val="00E41528"/>
    <w:rsid w:val="00E4158C"/>
    <w:rsid w:val="00E4160E"/>
    <w:rsid w:val="00E41BCB"/>
    <w:rsid w:val="00E42547"/>
    <w:rsid w:val="00E425D6"/>
    <w:rsid w:val="00E4260D"/>
    <w:rsid w:val="00E42957"/>
    <w:rsid w:val="00E42BF4"/>
    <w:rsid w:val="00E43075"/>
    <w:rsid w:val="00E432D9"/>
    <w:rsid w:val="00E43745"/>
    <w:rsid w:val="00E437D2"/>
    <w:rsid w:val="00E43BF9"/>
    <w:rsid w:val="00E443C7"/>
    <w:rsid w:val="00E4482F"/>
    <w:rsid w:val="00E44E1A"/>
    <w:rsid w:val="00E44ECA"/>
    <w:rsid w:val="00E455F9"/>
    <w:rsid w:val="00E4568A"/>
    <w:rsid w:val="00E46FF0"/>
    <w:rsid w:val="00E47026"/>
    <w:rsid w:val="00E47237"/>
    <w:rsid w:val="00E4743E"/>
    <w:rsid w:val="00E47464"/>
    <w:rsid w:val="00E47587"/>
    <w:rsid w:val="00E47B0A"/>
    <w:rsid w:val="00E47D60"/>
    <w:rsid w:val="00E47EF5"/>
    <w:rsid w:val="00E50A05"/>
    <w:rsid w:val="00E50E2A"/>
    <w:rsid w:val="00E510E6"/>
    <w:rsid w:val="00E5124F"/>
    <w:rsid w:val="00E512BB"/>
    <w:rsid w:val="00E51759"/>
    <w:rsid w:val="00E517A4"/>
    <w:rsid w:val="00E517E1"/>
    <w:rsid w:val="00E51930"/>
    <w:rsid w:val="00E52548"/>
    <w:rsid w:val="00E52707"/>
    <w:rsid w:val="00E53D15"/>
    <w:rsid w:val="00E54DAB"/>
    <w:rsid w:val="00E54DBF"/>
    <w:rsid w:val="00E5543B"/>
    <w:rsid w:val="00E55703"/>
    <w:rsid w:val="00E55751"/>
    <w:rsid w:val="00E55DA7"/>
    <w:rsid w:val="00E56092"/>
    <w:rsid w:val="00E56447"/>
    <w:rsid w:val="00E56E05"/>
    <w:rsid w:val="00E57D82"/>
    <w:rsid w:val="00E57E61"/>
    <w:rsid w:val="00E6012B"/>
    <w:rsid w:val="00E601F0"/>
    <w:rsid w:val="00E60712"/>
    <w:rsid w:val="00E60873"/>
    <w:rsid w:val="00E60E70"/>
    <w:rsid w:val="00E622C1"/>
    <w:rsid w:val="00E62C81"/>
    <w:rsid w:val="00E62EA8"/>
    <w:rsid w:val="00E63EBC"/>
    <w:rsid w:val="00E63FC8"/>
    <w:rsid w:val="00E643C3"/>
    <w:rsid w:val="00E64983"/>
    <w:rsid w:val="00E64BF4"/>
    <w:rsid w:val="00E64D3E"/>
    <w:rsid w:val="00E65744"/>
    <w:rsid w:val="00E657E6"/>
    <w:rsid w:val="00E65F8D"/>
    <w:rsid w:val="00E6665F"/>
    <w:rsid w:val="00E66816"/>
    <w:rsid w:val="00E6738C"/>
    <w:rsid w:val="00E67629"/>
    <w:rsid w:val="00E67AF8"/>
    <w:rsid w:val="00E70003"/>
    <w:rsid w:val="00E7016E"/>
    <w:rsid w:val="00E70E67"/>
    <w:rsid w:val="00E70ED0"/>
    <w:rsid w:val="00E71398"/>
    <w:rsid w:val="00E71726"/>
    <w:rsid w:val="00E71995"/>
    <w:rsid w:val="00E71A06"/>
    <w:rsid w:val="00E71AE6"/>
    <w:rsid w:val="00E71C4A"/>
    <w:rsid w:val="00E722BE"/>
    <w:rsid w:val="00E72379"/>
    <w:rsid w:val="00E72943"/>
    <w:rsid w:val="00E73122"/>
    <w:rsid w:val="00E73286"/>
    <w:rsid w:val="00E735A3"/>
    <w:rsid w:val="00E73906"/>
    <w:rsid w:val="00E73919"/>
    <w:rsid w:val="00E7398E"/>
    <w:rsid w:val="00E73AC4"/>
    <w:rsid w:val="00E73DB3"/>
    <w:rsid w:val="00E74A8E"/>
    <w:rsid w:val="00E74BD4"/>
    <w:rsid w:val="00E74EB6"/>
    <w:rsid w:val="00E74EFA"/>
    <w:rsid w:val="00E75AF8"/>
    <w:rsid w:val="00E75BAA"/>
    <w:rsid w:val="00E75DF5"/>
    <w:rsid w:val="00E76050"/>
    <w:rsid w:val="00E765C0"/>
    <w:rsid w:val="00E76EEE"/>
    <w:rsid w:val="00E77B73"/>
    <w:rsid w:val="00E80303"/>
    <w:rsid w:val="00E807EA"/>
    <w:rsid w:val="00E80AAB"/>
    <w:rsid w:val="00E80D59"/>
    <w:rsid w:val="00E816F1"/>
    <w:rsid w:val="00E81ADD"/>
    <w:rsid w:val="00E81B28"/>
    <w:rsid w:val="00E81FB9"/>
    <w:rsid w:val="00E82041"/>
    <w:rsid w:val="00E821C5"/>
    <w:rsid w:val="00E825C0"/>
    <w:rsid w:val="00E832A5"/>
    <w:rsid w:val="00E83561"/>
    <w:rsid w:val="00E83DDB"/>
    <w:rsid w:val="00E83DF4"/>
    <w:rsid w:val="00E84083"/>
    <w:rsid w:val="00E8440A"/>
    <w:rsid w:val="00E844E3"/>
    <w:rsid w:val="00E8486B"/>
    <w:rsid w:val="00E85139"/>
    <w:rsid w:val="00E85575"/>
    <w:rsid w:val="00E85C54"/>
    <w:rsid w:val="00E86435"/>
    <w:rsid w:val="00E8654F"/>
    <w:rsid w:val="00E86771"/>
    <w:rsid w:val="00E86CB7"/>
    <w:rsid w:val="00E86D8B"/>
    <w:rsid w:val="00E87279"/>
    <w:rsid w:val="00E872B7"/>
    <w:rsid w:val="00E87371"/>
    <w:rsid w:val="00E874C9"/>
    <w:rsid w:val="00E875B1"/>
    <w:rsid w:val="00E876BA"/>
    <w:rsid w:val="00E879E5"/>
    <w:rsid w:val="00E879F8"/>
    <w:rsid w:val="00E87A0E"/>
    <w:rsid w:val="00E90114"/>
    <w:rsid w:val="00E901AA"/>
    <w:rsid w:val="00E9026D"/>
    <w:rsid w:val="00E90A5A"/>
    <w:rsid w:val="00E915A5"/>
    <w:rsid w:val="00E916A1"/>
    <w:rsid w:val="00E91AB1"/>
    <w:rsid w:val="00E92B9E"/>
    <w:rsid w:val="00E92F78"/>
    <w:rsid w:val="00E932DA"/>
    <w:rsid w:val="00E933B5"/>
    <w:rsid w:val="00E93604"/>
    <w:rsid w:val="00E9379F"/>
    <w:rsid w:val="00E9389D"/>
    <w:rsid w:val="00E939F3"/>
    <w:rsid w:val="00E93BC8"/>
    <w:rsid w:val="00E93CBB"/>
    <w:rsid w:val="00E95471"/>
    <w:rsid w:val="00E95F36"/>
    <w:rsid w:val="00E967C5"/>
    <w:rsid w:val="00E96809"/>
    <w:rsid w:val="00E96A6D"/>
    <w:rsid w:val="00E96CAA"/>
    <w:rsid w:val="00E96E61"/>
    <w:rsid w:val="00E96EFE"/>
    <w:rsid w:val="00E96FED"/>
    <w:rsid w:val="00E97710"/>
    <w:rsid w:val="00E97C16"/>
    <w:rsid w:val="00E97D73"/>
    <w:rsid w:val="00E97F62"/>
    <w:rsid w:val="00E97FEF"/>
    <w:rsid w:val="00EA03D9"/>
    <w:rsid w:val="00EA1141"/>
    <w:rsid w:val="00EA19C3"/>
    <w:rsid w:val="00EA1FE8"/>
    <w:rsid w:val="00EA2311"/>
    <w:rsid w:val="00EA2A8E"/>
    <w:rsid w:val="00EA2C32"/>
    <w:rsid w:val="00EA2CF3"/>
    <w:rsid w:val="00EA368F"/>
    <w:rsid w:val="00EA3A98"/>
    <w:rsid w:val="00EA42D8"/>
    <w:rsid w:val="00EA4BA2"/>
    <w:rsid w:val="00EA5021"/>
    <w:rsid w:val="00EA514D"/>
    <w:rsid w:val="00EA5901"/>
    <w:rsid w:val="00EA5CBC"/>
    <w:rsid w:val="00EA60EF"/>
    <w:rsid w:val="00EA6374"/>
    <w:rsid w:val="00EA7701"/>
    <w:rsid w:val="00EA7EA1"/>
    <w:rsid w:val="00EB042C"/>
    <w:rsid w:val="00EB0B28"/>
    <w:rsid w:val="00EB0BC4"/>
    <w:rsid w:val="00EB1062"/>
    <w:rsid w:val="00EB17F2"/>
    <w:rsid w:val="00EB18D0"/>
    <w:rsid w:val="00EB1B74"/>
    <w:rsid w:val="00EB1C64"/>
    <w:rsid w:val="00EB1E13"/>
    <w:rsid w:val="00EB1FA8"/>
    <w:rsid w:val="00EB290A"/>
    <w:rsid w:val="00EB2961"/>
    <w:rsid w:val="00EB2B01"/>
    <w:rsid w:val="00EB3284"/>
    <w:rsid w:val="00EB3499"/>
    <w:rsid w:val="00EB34FB"/>
    <w:rsid w:val="00EB3562"/>
    <w:rsid w:val="00EB35A1"/>
    <w:rsid w:val="00EB3EB7"/>
    <w:rsid w:val="00EB4B14"/>
    <w:rsid w:val="00EB4B54"/>
    <w:rsid w:val="00EB4DF5"/>
    <w:rsid w:val="00EB5094"/>
    <w:rsid w:val="00EB58D4"/>
    <w:rsid w:val="00EB5CD0"/>
    <w:rsid w:val="00EB5D4B"/>
    <w:rsid w:val="00EB604F"/>
    <w:rsid w:val="00EB61BF"/>
    <w:rsid w:val="00EB630E"/>
    <w:rsid w:val="00EB6B56"/>
    <w:rsid w:val="00EB7C17"/>
    <w:rsid w:val="00EB7F62"/>
    <w:rsid w:val="00EC03B1"/>
    <w:rsid w:val="00EC049E"/>
    <w:rsid w:val="00EC1545"/>
    <w:rsid w:val="00EC1AB2"/>
    <w:rsid w:val="00EC1AC5"/>
    <w:rsid w:val="00EC322A"/>
    <w:rsid w:val="00EC333B"/>
    <w:rsid w:val="00EC3373"/>
    <w:rsid w:val="00EC3495"/>
    <w:rsid w:val="00EC35E8"/>
    <w:rsid w:val="00EC3646"/>
    <w:rsid w:val="00EC3ABA"/>
    <w:rsid w:val="00EC52AB"/>
    <w:rsid w:val="00EC5843"/>
    <w:rsid w:val="00EC69FF"/>
    <w:rsid w:val="00EC6F98"/>
    <w:rsid w:val="00EC76B8"/>
    <w:rsid w:val="00EC7BC3"/>
    <w:rsid w:val="00ED0119"/>
    <w:rsid w:val="00ED05E3"/>
    <w:rsid w:val="00ED0B7F"/>
    <w:rsid w:val="00ED0EEA"/>
    <w:rsid w:val="00ED12D4"/>
    <w:rsid w:val="00ED1D22"/>
    <w:rsid w:val="00ED2B43"/>
    <w:rsid w:val="00ED2CFF"/>
    <w:rsid w:val="00ED308F"/>
    <w:rsid w:val="00ED328F"/>
    <w:rsid w:val="00ED3C35"/>
    <w:rsid w:val="00ED42EA"/>
    <w:rsid w:val="00ED4630"/>
    <w:rsid w:val="00ED46D7"/>
    <w:rsid w:val="00ED47D7"/>
    <w:rsid w:val="00ED57E8"/>
    <w:rsid w:val="00ED59A0"/>
    <w:rsid w:val="00ED5A6D"/>
    <w:rsid w:val="00ED5AF9"/>
    <w:rsid w:val="00ED613F"/>
    <w:rsid w:val="00ED6668"/>
    <w:rsid w:val="00ED6B61"/>
    <w:rsid w:val="00ED6ED2"/>
    <w:rsid w:val="00ED7600"/>
    <w:rsid w:val="00ED76FE"/>
    <w:rsid w:val="00ED7AFA"/>
    <w:rsid w:val="00ED7B4D"/>
    <w:rsid w:val="00ED7DF9"/>
    <w:rsid w:val="00EE0279"/>
    <w:rsid w:val="00EE0311"/>
    <w:rsid w:val="00EE06ED"/>
    <w:rsid w:val="00EE0A17"/>
    <w:rsid w:val="00EE0AD1"/>
    <w:rsid w:val="00EE11B3"/>
    <w:rsid w:val="00EE1447"/>
    <w:rsid w:val="00EE1A32"/>
    <w:rsid w:val="00EE1E79"/>
    <w:rsid w:val="00EE1FDF"/>
    <w:rsid w:val="00EE1FFC"/>
    <w:rsid w:val="00EE2244"/>
    <w:rsid w:val="00EE307D"/>
    <w:rsid w:val="00EE3814"/>
    <w:rsid w:val="00EE392D"/>
    <w:rsid w:val="00EE3F33"/>
    <w:rsid w:val="00EE409B"/>
    <w:rsid w:val="00EE49C3"/>
    <w:rsid w:val="00EE49C8"/>
    <w:rsid w:val="00EE4BCD"/>
    <w:rsid w:val="00EE4E25"/>
    <w:rsid w:val="00EE5469"/>
    <w:rsid w:val="00EE5964"/>
    <w:rsid w:val="00EE5C4C"/>
    <w:rsid w:val="00EE5DB0"/>
    <w:rsid w:val="00EE5FE9"/>
    <w:rsid w:val="00EE69A3"/>
    <w:rsid w:val="00EE723B"/>
    <w:rsid w:val="00EE73FA"/>
    <w:rsid w:val="00EE74E0"/>
    <w:rsid w:val="00EE7B02"/>
    <w:rsid w:val="00EE7C65"/>
    <w:rsid w:val="00EE7D46"/>
    <w:rsid w:val="00EF05C6"/>
    <w:rsid w:val="00EF0871"/>
    <w:rsid w:val="00EF097B"/>
    <w:rsid w:val="00EF09EB"/>
    <w:rsid w:val="00EF0A75"/>
    <w:rsid w:val="00EF1125"/>
    <w:rsid w:val="00EF1455"/>
    <w:rsid w:val="00EF2917"/>
    <w:rsid w:val="00EF2A8B"/>
    <w:rsid w:val="00EF2B67"/>
    <w:rsid w:val="00EF2E80"/>
    <w:rsid w:val="00EF395B"/>
    <w:rsid w:val="00EF409D"/>
    <w:rsid w:val="00EF48D0"/>
    <w:rsid w:val="00EF4AA3"/>
    <w:rsid w:val="00EF5474"/>
    <w:rsid w:val="00EF54C1"/>
    <w:rsid w:val="00EF5FE5"/>
    <w:rsid w:val="00EF6073"/>
    <w:rsid w:val="00EF698B"/>
    <w:rsid w:val="00EF6A5C"/>
    <w:rsid w:val="00EF74D5"/>
    <w:rsid w:val="00EF7E28"/>
    <w:rsid w:val="00F0055D"/>
    <w:rsid w:val="00F00BCD"/>
    <w:rsid w:val="00F00E4C"/>
    <w:rsid w:val="00F01352"/>
    <w:rsid w:val="00F015CC"/>
    <w:rsid w:val="00F01B63"/>
    <w:rsid w:val="00F0248A"/>
    <w:rsid w:val="00F02605"/>
    <w:rsid w:val="00F02890"/>
    <w:rsid w:val="00F02C49"/>
    <w:rsid w:val="00F02D85"/>
    <w:rsid w:val="00F02F2A"/>
    <w:rsid w:val="00F031B3"/>
    <w:rsid w:val="00F035AC"/>
    <w:rsid w:val="00F03618"/>
    <w:rsid w:val="00F036BA"/>
    <w:rsid w:val="00F03E69"/>
    <w:rsid w:val="00F050D1"/>
    <w:rsid w:val="00F052D5"/>
    <w:rsid w:val="00F053C2"/>
    <w:rsid w:val="00F05EE7"/>
    <w:rsid w:val="00F069AC"/>
    <w:rsid w:val="00F06AD3"/>
    <w:rsid w:val="00F07080"/>
    <w:rsid w:val="00F0709A"/>
    <w:rsid w:val="00F07BF4"/>
    <w:rsid w:val="00F10922"/>
    <w:rsid w:val="00F114F2"/>
    <w:rsid w:val="00F12226"/>
    <w:rsid w:val="00F12B83"/>
    <w:rsid w:val="00F12CB5"/>
    <w:rsid w:val="00F12F7B"/>
    <w:rsid w:val="00F132DF"/>
    <w:rsid w:val="00F13456"/>
    <w:rsid w:val="00F1362C"/>
    <w:rsid w:val="00F14206"/>
    <w:rsid w:val="00F14461"/>
    <w:rsid w:val="00F1451B"/>
    <w:rsid w:val="00F14DF9"/>
    <w:rsid w:val="00F14E5D"/>
    <w:rsid w:val="00F14EAB"/>
    <w:rsid w:val="00F153F2"/>
    <w:rsid w:val="00F15C5B"/>
    <w:rsid w:val="00F15D6B"/>
    <w:rsid w:val="00F160B5"/>
    <w:rsid w:val="00F163A3"/>
    <w:rsid w:val="00F1659C"/>
    <w:rsid w:val="00F16797"/>
    <w:rsid w:val="00F167C2"/>
    <w:rsid w:val="00F16975"/>
    <w:rsid w:val="00F16CE9"/>
    <w:rsid w:val="00F1703F"/>
    <w:rsid w:val="00F170B9"/>
    <w:rsid w:val="00F171EE"/>
    <w:rsid w:val="00F1720B"/>
    <w:rsid w:val="00F1724D"/>
    <w:rsid w:val="00F17373"/>
    <w:rsid w:val="00F1757F"/>
    <w:rsid w:val="00F175F5"/>
    <w:rsid w:val="00F17A2F"/>
    <w:rsid w:val="00F17C97"/>
    <w:rsid w:val="00F20A61"/>
    <w:rsid w:val="00F20B06"/>
    <w:rsid w:val="00F20CD4"/>
    <w:rsid w:val="00F211AB"/>
    <w:rsid w:val="00F21B6A"/>
    <w:rsid w:val="00F21DBC"/>
    <w:rsid w:val="00F221E6"/>
    <w:rsid w:val="00F2236B"/>
    <w:rsid w:val="00F238D0"/>
    <w:rsid w:val="00F247F3"/>
    <w:rsid w:val="00F254A1"/>
    <w:rsid w:val="00F2597A"/>
    <w:rsid w:val="00F25B7C"/>
    <w:rsid w:val="00F26FAE"/>
    <w:rsid w:val="00F27D1C"/>
    <w:rsid w:val="00F27DBE"/>
    <w:rsid w:val="00F27EE4"/>
    <w:rsid w:val="00F3056C"/>
    <w:rsid w:val="00F307B9"/>
    <w:rsid w:val="00F30A79"/>
    <w:rsid w:val="00F311D7"/>
    <w:rsid w:val="00F313B3"/>
    <w:rsid w:val="00F31412"/>
    <w:rsid w:val="00F3182B"/>
    <w:rsid w:val="00F3248A"/>
    <w:rsid w:val="00F32B20"/>
    <w:rsid w:val="00F32C2C"/>
    <w:rsid w:val="00F32E83"/>
    <w:rsid w:val="00F32F06"/>
    <w:rsid w:val="00F32F3D"/>
    <w:rsid w:val="00F3318E"/>
    <w:rsid w:val="00F33B4E"/>
    <w:rsid w:val="00F33EE3"/>
    <w:rsid w:val="00F34365"/>
    <w:rsid w:val="00F34BF5"/>
    <w:rsid w:val="00F34E8E"/>
    <w:rsid w:val="00F35C17"/>
    <w:rsid w:val="00F36700"/>
    <w:rsid w:val="00F3677F"/>
    <w:rsid w:val="00F36FC6"/>
    <w:rsid w:val="00F37E25"/>
    <w:rsid w:val="00F37F38"/>
    <w:rsid w:val="00F40116"/>
    <w:rsid w:val="00F4078F"/>
    <w:rsid w:val="00F40A7A"/>
    <w:rsid w:val="00F41356"/>
    <w:rsid w:val="00F414F1"/>
    <w:rsid w:val="00F4198A"/>
    <w:rsid w:val="00F42552"/>
    <w:rsid w:val="00F44009"/>
    <w:rsid w:val="00F44445"/>
    <w:rsid w:val="00F448F6"/>
    <w:rsid w:val="00F46518"/>
    <w:rsid w:val="00F47075"/>
    <w:rsid w:val="00F47223"/>
    <w:rsid w:val="00F47E00"/>
    <w:rsid w:val="00F508B8"/>
    <w:rsid w:val="00F50BFB"/>
    <w:rsid w:val="00F50C62"/>
    <w:rsid w:val="00F51771"/>
    <w:rsid w:val="00F51CB2"/>
    <w:rsid w:val="00F52147"/>
    <w:rsid w:val="00F52542"/>
    <w:rsid w:val="00F5261D"/>
    <w:rsid w:val="00F526F0"/>
    <w:rsid w:val="00F5281B"/>
    <w:rsid w:val="00F52916"/>
    <w:rsid w:val="00F53654"/>
    <w:rsid w:val="00F53760"/>
    <w:rsid w:val="00F53CC1"/>
    <w:rsid w:val="00F5419C"/>
    <w:rsid w:val="00F54547"/>
    <w:rsid w:val="00F545A0"/>
    <w:rsid w:val="00F54806"/>
    <w:rsid w:val="00F54A6A"/>
    <w:rsid w:val="00F555CA"/>
    <w:rsid w:val="00F55977"/>
    <w:rsid w:val="00F55E05"/>
    <w:rsid w:val="00F5624A"/>
    <w:rsid w:val="00F56A41"/>
    <w:rsid w:val="00F56E1B"/>
    <w:rsid w:val="00F5714B"/>
    <w:rsid w:val="00F573C3"/>
    <w:rsid w:val="00F578B7"/>
    <w:rsid w:val="00F57955"/>
    <w:rsid w:val="00F579A9"/>
    <w:rsid w:val="00F601CC"/>
    <w:rsid w:val="00F604BA"/>
    <w:rsid w:val="00F60983"/>
    <w:rsid w:val="00F60ACC"/>
    <w:rsid w:val="00F60DB2"/>
    <w:rsid w:val="00F61109"/>
    <w:rsid w:val="00F62091"/>
    <w:rsid w:val="00F62EAE"/>
    <w:rsid w:val="00F62FB8"/>
    <w:rsid w:val="00F631E1"/>
    <w:rsid w:val="00F63449"/>
    <w:rsid w:val="00F63A70"/>
    <w:rsid w:val="00F645CD"/>
    <w:rsid w:val="00F655AD"/>
    <w:rsid w:val="00F65963"/>
    <w:rsid w:val="00F66006"/>
    <w:rsid w:val="00F6608C"/>
    <w:rsid w:val="00F665DC"/>
    <w:rsid w:val="00F666EE"/>
    <w:rsid w:val="00F66C21"/>
    <w:rsid w:val="00F66C25"/>
    <w:rsid w:val="00F67088"/>
    <w:rsid w:val="00F6723E"/>
    <w:rsid w:val="00F67336"/>
    <w:rsid w:val="00F673CA"/>
    <w:rsid w:val="00F678C7"/>
    <w:rsid w:val="00F67B6C"/>
    <w:rsid w:val="00F67DD4"/>
    <w:rsid w:val="00F7010E"/>
    <w:rsid w:val="00F70459"/>
    <w:rsid w:val="00F70D35"/>
    <w:rsid w:val="00F71648"/>
    <w:rsid w:val="00F71855"/>
    <w:rsid w:val="00F71B22"/>
    <w:rsid w:val="00F721E4"/>
    <w:rsid w:val="00F72377"/>
    <w:rsid w:val="00F7259A"/>
    <w:rsid w:val="00F727DA"/>
    <w:rsid w:val="00F72831"/>
    <w:rsid w:val="00F729EE"/>
    <w:rsid w:val="00F72CB1"/>
    <w:rsid w:val="00F72E7C"/>
    <w:rsid w:val="00F72F64"/>
    <w:rsid w:val="00F72FD5"/>
    <w:rsid w:val="00F73806"/>
    <w:rsid w:val="00F73AAE"/>
    <w:rsid w:val="00F73AD5"/>
    <w:rsid w:val="00F74A57"/>
    <w:rsid w:val="00F74B69"/>
    <w:rsid w:val="00F74C73"/>
    <w:rsid w:val="00F7508C"/>
    <w:rsid w:val="00F7537B"/>
    <w:rsid w:val="00F75445"/>
    <w:rsid w:val="00F75540"/>
    <w:rsid w:val="00F75AB2"/>
    <w:rsid w:val="00F75D1A"/>
    <w:rsid w:val="00F75E80"/>
    <w:rsid w:val="00F75EBD"/>
    <w:rsid w:val="00F763FC"/>
    <w:rsid w:val="00F76946"/>
    <w:rsid w:val="00F76AB3"/>
    <w:rsid w:val="00F76C08"/>
    <w:rsid w:val="00F77030"/>
    <w:rsid w:val="00F77154"/>
    <w:rsid w:val="00F777F9"/>
    <w:rsid w:val="00F80303"/>
    <w:rsid w:val="00F8041E"/>
    <w:rsid w:val="00F80463"/>
    <w:rsid w:val="00F81007"/>
    <w:rsid w:val="00F811FD"/>
    <w:rsid w:val="00F819AD"/>
    <w:rsid w:val="00F8215E"/>
    <w:rsid w:val="00F824F5"/>
    <w:rsid w:val="00F82ADC"/>
    <w:rsid w:val="00F83026"/>
    <w:rsid w:val="00F834D0"/>
    <w:rsid w:val="00F83E25"/>
    <w:rsid w:val="00F840F0"/>
    <w:rsid w:val="00F8436F"/>
    <w:rsid w:val="00F84C42"/>
    <w:rsid w:val="00F850E7"/>
    <w:rsid w:val="00F8519C"/>
    <w:rsid w:val="00F85A97"/>
    <w:rsid w:val="00F85EE6"/>
    <w:rsid w:val="00F86973"/>
    <w:rsid w:val="00F86F6D"/>
    <w:rsid w:val="00F8713F"/>
    <w:rsid w:val="00F87697"/>
    <w:rsid w:val="00F877B2"/>
    <w:rsid w:val="00F879FB"/>
    <w:rsid w:val="00F87E4D"/>
    <w:rsid w:val="00F90780"/>
    <w:rsid w:val="00F90FAB"/>
    <w:rsid w:val="00F91795"/>
    <w:rsid w:val="00F9199F"/>
    <w:rsid w:val="00F91C58"/>
    <w:rsid w:val="00F9374D"/>
    <w:rsid w:val="00F93A1C"/>
    <w:rsid w:val="00F93BF4"/>
    <w:rsid w:val="00F93CBF"/>
    <w:rsid w:val="00F94113"/>
    <w:rsid w:val="00F9429E"/>
    <w:rsid w:val="00F948CB"/>
    <w:rsid w:val="00F949E2"/>
    <w:rsid w:val="00F94A40"/>
    <w:rsid w:val="00F94E66"/>
    <w:rsid w:val="00F953E0"/>
    <w:rsid w:val="00F95CEF"/>
    <w:rsid w:val="00F96054"/>
    <w:rsid w:val="00F96750"/>
    <w:rsid w:val="00F96B3D"/>
    <w:rsid w:val="00F97147"/>
    <w:rsid w:val="00F97991"/>
    <w:rsid w:val="00F97A80"/>
    <w:rsid w:val="00FA0539"/>
    <w:rsid w:val="00FA086F"/>
    <w:rsid w:val="00FA0FE7"/>
    <w:rsid w:val="00FA149F"/>
    <w:rsid w:val="00FA15F2"/>
    <w:rsid w:val="00FA1995"/>
    <w:rsid w:val="00FA1A64"/>
    <w:rsid w:val="00FA1B2D"/>
    <w:rsid w:val="00FA1C2E"/>
    <w:rsid w:val="00FA1CD9"/>
    <w:rsid w:val="00FA2301"/>
    <w:rsid w:val="00FA239E"/>
    <w:rsid w:val="00FA2C37"/>
    <w:rsid w:val="00FA3323"/>
    <w:rsid w:val="00FA3F75"/>
    <w:rsid w:val="00FA498D"/>
    <w:rsid w:val="00FA49E9"/>
    <w:rsid w:val="00FA4BA7"/>
    <w:rsid w:val="00FA4D5F"/>
    <w:rsid w:val="00FA509D"/>
    <w:rsid w:val="00FA513F"/>
    <w:rsid w:val="00FA5237"/>
    <w:rsid w:val="00FA5DFE"/>
    <w:rsid w:val="00FA5FEE"/>
    <w:rsid w:val="00FA6C84"/>
    <w:rsid w:val="00FA6D4C"/>
    <w:rsid w:val="00FA6F6D"/>
    <w:rsid w:val="00FA7871"/>
    <w:rsid w:val="00FA78E7"/>
    <w:rsid w:val="00FB28E4"/>
    <w:rsid w:val="00FB2FD0"/>
    <w:rsid w:val="00FB4B92"/>
    <w:rsid w:val="00FB4BD5"/>
    <w:rsid w:val="00FB4FFA"/>
    <w:rsid w:val="00FB5086"/>
    <w:rsid w:val="00FB50C6"/>
    <w:rsid w:val="00FB50E6"/>
    <w:rsid w:val="00FB55BA"/>
    <w:rsid w:val="00FB5639"/>
    <w:rsid w:val="00FB568F"/>
    <w:rsid w:val="00FB5FF8"/>
    <w:rsid w:val="00FB63F8"/>
    <w:rsid w:val="00FB776A"/>
    <w:rsid w:val="00FC033F"/>
    <w:rsid w:val="00FC093B"/>
    <w:rsid w:val="00FC0B27"/>
    <w:rsid w:val="00FC0C74"/>
    <w:rsid w:val="00FC293E"/>
    <w:rsid w:val="00FC29B9"/>
    <w:rsid w:val="00FC2AF6"/>
    <w:rsid w:val="00FC2B7B"/>
    <w:rsid w:val="00FC2D1A"/>
    <w:rsid w:val="00FC3039"/>
    <w:rsid w:val="00FC3646"/>
    <w:rsid w:val="00FC416B"/>
    <w:rsid w:val="00FC4733"/>
    <w:rsid w:val="00FC4A26"/>
    <w:rsid w:val="00FC525B"/>
    <w:rsid w:val="00FC5600"/>
    <w:rsid w:val="00FC580F"/>
    <w:rsid w:val="00FC5A86"/>
    <w:rsid w:val="00FC6C5A"/>
    <w:rsid w:val="00FC6FD3"/>
    <w:rsid w:val="00FC761C"/>
    <w:rsid w:val="00FC7BC8"/>
    <w:rsid w:val="00FC7DDA"/>
    <w:rsid w:val="00FD027B"/>
    <w:rsid w:val="00FD042C"/>
    <w:rsid w:val="00FD047C"/>
    <w:rsid w:val="00FD0960"/>
    <w:rsid w:val="00FD127A"/>
    <w:rsid w:val="00FD14B3"/>
    <w:rsid w:val="00FD1546"/>
    <w:rsid w:val="00FD366C"/>
    <w:rsid w:val="00FD3AD4"/>
    <w:rsid w:val="00FD42D9"/>
    <w:rsid w:val="00FD44BE"/>
    <w:rsid w:val="00FD509E"/>
    <w:rsid w:val="00FD55CD"/>
    <w:rsid w:val="00FD59FE"/>
    <w:rsid w:val="00FD6B09"/>
    <w:rsid w:val="00FD6CF3"/>
    <w:rsid w:val="00FD762A"/>
    <w:rsid w:val="00FD7819"/>
    <w:rsid w:val="00FD79A8"/>
    <w:rsid w:val="00FD7A66"/>
    <w:rsid w:val="00FD7B73"/>
    <w:rsid w:val="00FE0083"/>
    <w:rsid w:val="00FE01C5"/>
    <w:rsid w:val="00FE048A"/>
    <w:rsid w:val="00FE079F"/>
    <w:rsid w:val="00FE0817"/>
    <w:rsid w:val="00FE09DB"/>
    <w:rsid w:val="00FE0C4C"/>
    <w:rsid w:val="00FE1C4F"/>
    <w:rsid w:val="00FE2080"/>
    <w:rsid w:val="00FE2651"/>
    <w:rsid w:val="00FE2714"/>
    <w:rsid w:val="00FE2F29"/>
    <w:rsid w:val="00FE305C"/>
    <w:rsid w:val="00FE3FA5"/>
    <w:rsid w:val="00FE4961"/>
    <w:rsid w:val="00FE4AE7"/>
    <w:rsid w:val="00FE4F30"/>
    <w:rsid w:val="00FE53F3"/>
    <w:rsid w:val="00FE56F5"/>
    <w:rsid w:val="00FE574E"/>
    <w:rsid w:val="00FE62A0"/>
    <w:rsid w:val="00FE66E5"/>
    <w:rsid w:val="00FE67B3"/>
    <w:rsid w:val="00FE6A6A"/>
    <w:rsid w:val="00FE6D52"/>
    <w:rsid w:val="00FE71AD"/>
    <w:rsid w:val="00FE743C"/>
    <w:rsid w:val="00FF0301"/>
    <w:rsid w:val="00FF088F"/>
    <w:rsid w:val="00FF0CB4"/>
    <w:rsid w:val="00FF1751"/>
    <w:rsid w:val="00FF1A34"/>
    <w:rsid w:val="00FF1F91"/>
    <w:rsid w:val="00FF23FB"/>
    <w:rsid w:val="00FF2494"/>
    <w:rsid w:val="00FF2700"/>
    <w:rsid w:val="00FF28F4"/>
    <w:rsid w:val="00FF2C6D"/>
    <w:rsid w:val="00FF3253"/>
    <w:rsid w:val="00FF3292"/>
    <w:rsid w:val="00FF3317"/>
    <w:rsid w:val="00FF354A"/>
    <w:rsid w:val="00FF3854"/>
    <w:rsid w:val="00FF399C"/>
    <w:rsid w:val="00FF39EE"/>
    <w:rsid w:val="00FF3F7D"/>
    <w:rsid w:val="00FF432B"/>
    <w:rsid w:val="00FF485D"/>
    <w:rsid w:val="00FF488E"/>
    <w:rsid w:val="00FF4A54"/>
    <w:rsid w:val="00FF5061"/>
    <w:rsid w:val="00FF5783"/>
    <w:rsid w:val="00FF5A33"/>
    <w:rsid w:val="00FF639A"/>
    <w:rsid w:val="00FF650B"/>
    <w:rsid w:val="00FF698D"/>
    <w:rsid w:val="00FF69A2"/>
    <w:rsid w:val="00FF70A6"/>
    <w:rsid w:val="00FF753B"/>
    <w:rsid w:val="00FF7BDD"/>
    <w:rsid w:val="00FF7E15"/>
    <w:rsid w:val="096F9CAE"/>
    <w:rsid w:val="143BA652"/>
    <w:rsid w:val="15526FAB"/>
    <w:rsid w:val="16DD182C"/>
    <w:rsid w:val="179DB953"/>
    <w:rsid w:val="2740BE50"/>
    <w:rsid w:val="29B7EC77"/>
    <w:rsid w:val="308607C6"/>
    <w:rsid w:val="3C3A81A6"/>
    <w:rsid w:val="3E03A4D3"/>
    <w:rsid w:val="3F2B6DF1"/>
    <w:rsid w:val="420B0DFE"/>
    <w:rsid w:val="48EB6057"/>
    <w:rsid w:val="4A7F4CB3"/>
    <w:rsid w:val="58D5EE81"/>
    <w:rsid w:val="5EE27766"/>
    <w:rsid w:val="631F9E7E"/>
    <w:rsid w:val="763E5919"/>
  </w:rsids>
  <m:mathPr>
    <m:mathFont m:val="Cambria Math"/>
    <m:brkBin m:val="before"/>
    <m:brkBinSub m:val="--"/>
    <m:smallFrac m:val="0"/>
    <m:dispDef/>
    <m:lMargin m:val="0"/>
    <m:rMargin m:val="0"/>
    <m:defJc m:val="centerGroup"/>
    <m:wrapIndent m:val="1440"/>
    <m:intLim m:val="subSup"/>
    <m:naryLim m:val="undOvr"/>
  </m:mathPr>
  <w:themeFontLang w:val="en-D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7764AA"/>
  <w15:chartTrackingRefBased/>
  <w15:docId w15:val="{18BB4D7D-7C8A-40A2-82AB-0D48BE73B4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0"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30B9"/>
    <w:rPr>
      <w:rFonts w:ascii="Times New Roman" w:hAnsi="Times New Roman"/>
      <w:sz w:val="20"/>
      <w:lang w:val="en-GB"/>
    </w:rPr>
  </w:style>
  <w:style w:type="paragraph" w:styleId="Heading1">
    <w:name w:val="heading 1"/>
    <w:basedOn w:val="Normal"/>
    <w:next w:val="Normal"/>
    <w:link w:val="Heading1Char"/>
    <w:uiPriority w:val="9"/>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tion Char1 Char,cap Char Char1,Caption Char Char1 Char,cap Char2 Char,Ca,cap Char2,Caption Char 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列出段落,- Bullets,?? ??,?????,????,リスト段落,Lista1,列出段落1,中等深浅网格 1 - 着色 21,R4_bullets,列表段落1,—ño’i—Ž,¥¡¡¡¡ì¬º¥¹¥È¶ÎÂä,ÁÐ³ö¶ÎÂä,¥ê¥¹¥È¶ÎÂä,1st level - Bullet List Paragraph,Lettre d'introduction,Paragrafo elenco,Bullet li"/>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3D5D44"/>
    <w:pPr>
      <w:numPr>
        <w:ilvl w:val="1"/>
        <w:numId w:val="2"/>
      </w:numPr>
      <w:ind w:left="851" w:hanging="851"/>
    </w:pPr>
    <w:rPr>
      <w:lang w:val="en-US"/>
    </w:rPr>
  </w:style>
  <w:style w:type="paragraph" w:customStyle="1" w:styleId="RAN4H1">
    <w:name w:val="RAN4 H1"/>
    <w:basedOn w:val="Normal"/>
    <w:next w:val="Normal"/>
    <w:link w:val="RAN4H1Char"/>
    <w:qFormat/>
    <w:rsid w:val="003D5D44"/>
    <w:pPr>
      <w:keepNext/>
      <w:keepLines/>
      <w:numPr>
        <w:numId w:val="2"/>
      </w:numPr>
      <w:pBdr>
        <w:top w:val="single" w:sz="12" w:space="3" w:color="auto"/>
      </w:pBdr>
      <w:overflowPunct w:val="0"/>
      <w:autoSpaceDE w:val="0"/>
      <w:autoSpaceDN w:val="0"/>
      <w:adjustRightInd w:val="0"/>
      <w:spacing w:before="240" w:after="180" w:line="240" w:lineRule="auto"/>
      <w:ind w:left="567" w:hanging="567"/>
      <w:textAlignment w:val="baseline"/>
      <w:outlineLvl w:val="0"/>
    </w:pPr>
    <w:rPr>
      <w:rFonts w:ascii="Arial" w:eastAsia="SimSun" w:hAnsi="Arial" w:cs="Times New Roman"/>
      <w:sz w:val="36"/>
      <w:szCs w:val="20"/>
      <w:lang w:val="en-US"/>
    </w:rPr>
  </w:style>
  <w:style w:type="character" w:customStyle="1" w:styleId="RAN4H2Char">
    <w:name w:val="RAN4 H2 Char"/>
    <w:basedOn w:val="Heading2Char"/>
    <w:link w:val="RAN4H2"/>
    <w:rsid w:val="003D5D44"/>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3"/>
      </w:numPr>
    </w:pPr>
    <w:rPr>
      <w:rFonts w:eastAsia="Calibri" w:cs="Times New Roman"/>
      <w:szCs w:val="20"/>
    </w:rPr>
  </w:style>
  <w:style w:type="character" w:customStyle="1" w:styleId="RAN4H1Char">
    <w:name w:val="RAN4 H1 Char"/>
    <w:basedOn w:val="DefaultParagraphFont"/>
    <w:link w:val="RAN4H1"/>
    <w:rsid w:val="003D5D44"/>
    <w:rPr>
      <w:rFonts w:ascii="Arial" w:eastAsia="SimSun" w:hAnsi="Arial" w:cs="Times New Roman"/>
      <w:sz w:val="36"/>
      <w:szCs w:val="20"/>
    </w:rPr>
  </w:style>
  <w:style w:type="paragraph" w:customStyle="1" w:styleId="RAN4Proposal0">
    <w:name w:val="RAN4 Proposal"/>
    <w:basedOn w:val="ListParagraph"/>
    <w:next w:val="Normal"/>
    <w:link w:val="RAN4ProposalChar"/>
    <w:rsid w:val="0008612A"/>
    <w:pPr>
      <w:numPr>
        <w:numId w:val="1"/>
      </w:numPr>
    </w:pPr>
    <w:rPr>
      <w:rFonts w:eastAsia="Calibri" w:cs="Times New Roman"/>
      <w:b/>
      <w:szCs w:val="20"/>
    </w:rPr>
  </w:style>
  <w:style w:type="character" w:customStyle="1" w:styleId="ListParagraphChar">
    <w:name w:val="List Paragraph Char"/>
    <w:aliases w:val="List Paragraph - Bullets Char,列出段落 Char,- Bullets Char,?? ?? Char,????? Char,???? Char,リスト段落 Char,Lista1 Char,列出段落1 Char,中等深浅网格 1 - 着色 21 Char,R4_bullets Char,列表段落1 Char,—ño’i—Ž Char,¥¡¡¡¡ì¬º¥¹¥È¶ÎÂä Char,ÁÐ³ö¶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Ind w:w="0" w:type="nil"/>
      <w:tblCellMar>
        <w:left w:w="0" w:type="dxa"/>
        <w:right w:w="0" w:type="dxa"/>
      </w:tblCellMar>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D64D40"/>
    <w:pPr>
      <w:numPr>
        <w:numId w:val="14"/>
      </w:numPr>
      <w:tabs>
        <w:tab w:val="left" w:pos="0"/>
      </w:tabs>
      <w:ind w:left="1134" w:hanging="1134"/>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tion Char1 Char Char,cap Char Char1 Char,Caption Char Char1 Char Char,cap Char2 Char Char,Ca Char,cap Char2 Char1,Caption Char C...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D64D40"/>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Heading3"/>
    <w:next w:val="Normal"/>
    <w:link w:val="RAN4H3Char"/>
    <w:qFormat/>
    <w:rsid w:val="007577EF"/>
    <w:pPr>
      <w:numPr>
        <w:ilvl w:val="2"/>
        <w:numId w:val="2"/>
      </w:numPr>
      <w:spacing w:before="160" w:after="120"/>
      <w:ind w:left="851" w:hanging="851"/>
    </w:pPr>
    <w:rPr>
      <w:rFonts w:ascii="Arial" w:hAnsi="Arial" w:cs="Arial"/>
      <w:color w:val="auto"/>
    </w:rPr>
  </w:style>
  <w:style w:type="character" w:customStyle="1" w:styleId="RAN4H3Char">
    <w:name w:val="RAN4 H3 Char"/>
    <w:basedOn w:val="DefaultParagraphFont"/>
    <w:link w:val="RAN4H3"/>
    <w:rsid w:val="007577EF"/>
    <w:rPr>
      <w:rFonts w:ascii="Arial" w:eastAsiaTheme="majorEastAsia" w:hAnsi="Arial" w:cs="Arial"/>
      <w:sz w:val="24"/>
      <w:szCs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Ind w:w="0" w:type="nil"/>
      <w:tblBorders>
        <w:top w:val="single" w:sz="4" w:space="0" w:color="4472C4" w:themeColor="accent1"/>
        <w:left w:val="single" w:sz="4" w:space="0" w:color="4472C4" w:themeColor="accent1"/>
        <w:bottom w:val="single" w:sz="4" w:space="0" w:color="4472C4" w:themeColor="accent1"/>
        <w:right w:val="single" w:sz="4" w:space="0" w:color="4472C4" w:themeColor="accent1"/>
      </w:tblBorders>
      <w:tblCellMar>
        <w:left w:w="0" w:type="dxa"/>
        <w:right w:w="0" w:type="dxa"/>
      </w:tblCellMar>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rsid w:val="00356F45"/>
    <w:pPr>
      <w:numPr>
        <w:numId w:val="5"/>
      </w:numPr>
      <w:shd w:val="clear" w:color="auto" w:fill="FFFFFF"/>
      <w:spacing w:before="240" w:after="240" w:line="240" w:lineRule="auto"/>
    </w:pPr>
    <w:rPr>
      <w:rFonts w:asciiTheme="minorHAnsi" w:hAnsiTheme="minorHAnsi" w:cs="Arial"/>
      <w:color w:val="44546A" w:themeColor="text2"/>
      <w:sz w:val="22"/>
    </w:rPr>
  </w:style>
  <w:style w:type="character" w:styleId="UnresolvedMention">
    <w:name w:val="Unresolved Mention"/>
    <w:basedOn w:val="DefaultParagraphFont"/>
    <w:uiPriority w:val="99"/>
    <w:unhideWhenUsed/>
    <w:rsid w:val="00FE305C"/>
    <w:rPr>
      <w:color w:val="605E5C"/>
      <w:shd w:val="clear" w:color="auto" w:fill="E1DFDD"/>
    </w:rPr>
  </w:style>
  <w:style w:type="paragraph" w:customStyle="1" w:styleId="sectionsubheader">
    <w:name w:val="section_subheader"/>
    <w:next w:val="Normal"/>
    <w:link w:val="sectionsubheaderChar"/>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nhideWhenUsed/>
    <w:rsid w:val="00542D23"/>
    <w:rPr>
      <w:sz w:val="16"/>
      <w:szCs w:val="16"/>
    </w:rPr>
  </w:style>
  <w:style w:type="paragraph" w:styleId="CommentText">
    <w:name w:val="annotation text"/>
    <w:basedOn w:val="Normal"/>
    <w:link w:val="CommentTextChar"/>
    <w:unhideWhenUsed/>
    <w:qFormat/>
    <w:rsid w:val="00542D23"/>
    <w:pPr>
      <w:spacing w:line="240" w:lineRule="auto"/>
    </w:pPr>
    <w:rPr>
      <w:szCs w:val="20"/>
    </w:rPr>
  </w:style>
  <w:style w:type="character" w:customStyle="1" w:styleId="CommentTextChar">
    <w:name w:val="Comment Text Char"/>
    <w:basedOn w:val="DefaultParagraphFont"/>
    <w:link w:val="CommentText"/>
    <w:qForma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Ind w:w="0" w:type="nil"/>
      <w:tblCellMar>
        <w:left w:w="0" w:type="dxa"/>
        <w:right w:w="0" w:type="dxa"/>
      </w:tblCellMar>
    </w:tblPr>
    <w:tblStylePr w:type="firstRow">
      <w:pPr>
        <w:jc w:val="center"/>
      </w:pPr>
      <w:rPr>
        <w:rFonts w:ascii="@Yu Gothic UI Semilight" w:hAnsi="@Yu Gothic UI Semilight"/>
        <w:b/>
        <w:color w:val="FFFFFF" w:themeColor="background1"/>
        <w:sz w:val="20"/>
      </w:rPr>
    </w:tblStylePr>
  </w:style>
  <w:style w:type="paragraph" w:styleId="TOC4">
    <w:name w:val="toc 4"/>
    <w:aliases w:val="Observation"/>
    <w:basedOn w:val="Normal"/>
    <w:next w:val="Normal"/>
    <w:autoRedefine/>
    <w:uiPriority w:val="39"/>
    <w:unhideWhenUsed/>
    <w:rsid w:val="00503E59"/>
    <w:pPr>
      <w:tabs>
        <w:tab w:val="right" w:leader="dot" w:pos="9617"/>
      </w:tabs>
      <w:spacing w:after="100"/>
    </w:pPr>
  </w:style>
  <w:style w:type="paragraph" w:styleId="TOC5">
    <w:name w:val="toc 5"/>
    <w:aliases w:val="Proposal"/>
    <w:basedOn w:val="Normal"/>
    <w:next w:val="Normal"/>
    <w:autoRedefine/>
    <w:uiPriority w:val="39"/>
    <w:unhideWhenUsed/>
    <w:rsid w:val="00503E59"/>
    <w:pPr>
      <w:tabs>
        <w:tab w:val="right" w:leader="dot" w:pos="9617"/>
      </w:tabs>
      <w:spacing w:after="100"/>
    </w:pPr>
    <w:rPr>
      <w:b/>
    </w:rPr>
  </w:style>
  <w:style w:type="paragraph" w:customStyle="1" w:styleId="B1">
    <w:name w:val="B1"/>
    <w:basedOn w:val="List"/>
    <w:link w:val="B1Char"/>
    <w:rsid w:val="00970176"/>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lang w:eastAsia="en-GB"/>
    </w:rPr>
  </w:style>
  <w:style w:type="character" w:customStyle="1" w:styleId="B1Char">
    <w:name w:val="B1 Char"/>
    <w:link w:val="B1"/>
    <w:qFormat/>
    <w:locked/>
    <w:rsid w:val="00970176"/>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970176"/>
    <w:pPr>
      <w:ind w:left="283" w:hanging="283"/>
      <w:contextualSpacing/>
    </w:pPr>
  </w:style>
  <w:style w:type="paragraph" w:customStyle="1" w:styleId="TH">
    <w:name w:val="TH"/>
    <w:basedOn w:val="Normal"/>
    <w:link w:val="THChar"/>
    <w:qFormat/>
    <w:rsid w:val="00A752E1"/>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lang w:eastAsia="en-GB"/>
    </w:rPr>
  </w:style>
  <w:style w:type="character" w:customStyle="1" w:styleId="THChar">
    <w:name w:val="TH Char"/>
    <w:link w:val="TH"/>
    <w:qFormat/>
    <w:rsid w:val="00A752E1"/>
    <w:rPr>
      <w:rFonts w:ascii="Arial" w:eastAsia="Times New Roman" w:hAnsi="Arial" w:cs="Times New Roman"/>
      <w:b/>
      <w:sz w:val="20"/>
      <w:szCs w:val="20"/>
      <w:lang w:val="en-GB" w:eastAsia="en-GB"/>
    </w:rPr>
  </w:style>
  <w:style w:type="paragraph" w:customStyle="1" w:styleId="TAN">
    <w:name w:val="TAN"/>
    <w:basedOn w:val="Normal"/>
    <w:link w:val="TANChar"/>
    <w:qFormat/>
    <w:rsid w:val="002004FE"/>
    <w:pPr>
      <w:keepNext/>
      <w:keepLines/>
      <w:spacing w:after="0" w:line="240" w:lineRule="auto"/>
      <w:ind w:left="851" w:hanging="851"/>
    </w:pPr>
    <w:rPr>
      <w:rFonts w:ascii="Arial" w:eastAsia="Times New Roman" w:hAnsi="Arial" w:cs="Times New Roman"/>
      <w:sz w:val="18"/>
      <w:szCs w:val="20"/>
    </w:rPr>
  </w:style>
  <w:style w:type="character" w:customStyle="1" w:styleId="TANChar">
    <w:name w:val="TAN Char"/>
    <w:link w:val="TAN"/>
    <w:qFormat/>
    <w:rsid w:val="002004FE"/>
    <w:rPr>
      <w:rFonts w:ascii="Arial" w:eastAsia="Times New Roman" w:hAnsi="Arial" w:cs="Times New Roman"/>
      <w:sz w:val="18"/>
      <w:szCs w:val="20"/>
      <w:lang w:val="en-GB"/>
    </w:rPr>
  </w:style>
  <w:style w:type="paragraph" w:styleId="Header">
    <w:name w:val="header"/>
    <w:basedOn w:val="Normal"/>
    <w:link w:val="HeaderChar"/>
    <w:uiPriority w:val="99"/>
    <w:semiHidden/>
    <w:unhideWhenUsed/>
    <w:rsid w:val="00DD6546"/>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99604A"/>
    <w:rPr>
      <w:rFonts w:ascii="Times New Roman" w:hAnsi="Times New Roman"/>
      <w:sz w:val="20"/>
      <w:lang w:val="en-GB"/>
    </w:rPr>
  </w:style>
  <w:style w:type="paragraph" w:styleId="Footer">
    <w:name w:val="footer"/>
    <w:basedOn w:val="Normal"/>
    <w:link w:val="FooterChar"/>
    <w:uiPriority w:val="99"/>
    <w:semiHidden/>
    <w:unhideWhenUsed/>
    <w:rsid w:val="00DD6546"/>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99604A"/>
    <w:rPr>
      <w:rFonts w:ascii="Times New Roman" w:hAnsi="Times New Roman"/>
      <w:sz w:val="20"/>
      <w:lang w:val="en-GB"/>
    </w:rPr>
  </w:style>
  <w:style w:type="paragraph" w:customStyle="1" w:styleId="TAC">
    <w:name w:val="TAC"/>
    <w:basedOn w:val="Normal"/>
    <w:link w:val="TACChar"/>
    <w:qFormat/>
    <w:rsid w:val="00642873"/>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eastAsia="en-GB"/>
    </w:rPr>
  </w:style>
  <w:style w:type="character" w:customStyle="1" w:styleId="TACChar">
    <w:name w:val="TAC Char"/>
    <w:link w:val="TAC"/>
    <w:qFormat/>
    <w:rsid w:val="00642873"/>
    <w:rPr>
      <w:rFonts w:ascii="Arial" w:eastAsia="Times New Roman" w:hAnsi="Arial" w:cs="Times New Roman"/>
      <w:sz w:val="18"/>
      <w:szCs w:val="20"/>
      <w:lang w:val="en-GB" w:eastAsia="en-GB"/>
    </w:rPr>
  </w:style>
  <w:style w:type="paragraph" w:customStyle="1" w:styleId="NO">
    <w:name w:val="NO"/>
    <w:basedOn w:val="Normal"/>
    <w:rsid w:val="00AB4C36"/>
    <w:pPr>
      <w:keepLines/>
      <w:overflowPunct w:val="0"/>
      <w:autoSpaceDE w:val="0"/>
      <w:autoSpaceDN w:val="0"/>
      <w:adjustRightInd w:val="0"/>
      <w:spacing w:after="180" w:line="240" w:lineRule="auto"/>
      <w:ind w:left="1135" w:hanging="851"/>
      <w:textAlignment w:val="baseline"/>
    </w:pPr>
    <w:rPr>
      <w:rFonts w:eastAsiaTheme="minorEastAsia" w:cs="Times New Roman"/>
      <w:szCs w:val="20"/>
      <w:lang w:eastAsia="en-GB"/>
    </w:rPr>
  </w:style>
  <w:style w:type="paragraph" w:customStyle="1" w:styleId="B2">
    <w:name w:val="B2"/>
    <w:basedOn w:val="List2"/>
    <w:rsid w:val="00AB4C36"/>
    <w:pPr>
      <w:overflowPunct w:val="0"/>
      <w:autoSpaceDE w:val="0"/>
      <w:autoSpaceDN w:val="0"/>
      <w:adjustRightInd w:val="0"/>
      <w:spacing w:after="180" w:line="240" w:lineRule="auto"/>
      <w:ind w:left="851" w:hanging="284"/>
      <w:contextualSpacing w:val="0"/>
      <w:textAlignment w:val="baseline"/>
    </w:pPr>
    <w:rPr>
      <w:rFonts w:eastAsiaTheme="minorEastAsia" w:cs="Times New Roman"/>
      <w:szCs w:val="20"/>
      <w:lang w:eastAsia="en-GB"/>
    </w:rPr>
  </w:style>
  <w:style w:type="paragraph" w:styleId="List2">
    <w:name w:val="List 2"/>
    <w:basedOn w:val="Normal"/>
    <w:uiPriority w:val="99"/>
    <w:semiHidden/>
    <w:unhideWhenUsed/>
    <w:rsid w:val="00AB4C36"/>
    <w:pPr>
      <w:ind w:left="566" w:hanging="283"/>
      <w:contextualSpacing/>
    </w:pPr>
  </w:style>
  <w:style w:type="paragraph" w:styleId="FootnoteText">
    <w:name w:val="footnote text"/>
    <w:basedOn w:val="Normal"/>
    <w:link w:val="FootnoteTextChar"/>
    <w:uiPriority w:val="99"/>
    <w:semiHidden/>
    <w:unhideWhenUsed/>
    <w:rsid w:val="00AA4093"/>
    <w:pPr>
      <w:spacing w:after="0" w:line="240" w:lineRule="auto"/>
    </w:pPr>
    <w:rPr>
      <w:rFonts w:asciiTheme="minorHAnsi" w:hAnsiTheme="minorHAnsi" w:cs="Arial"/>
      <w:color w:val="44546A" w:themeColor="text2"/>
      <w:szCs w:val="20"/>
      <w:lang w:val="en-US"/>
    </w:rPr>
  </w:style>
  <w:style w:type="character" w:customStyle="1" w:styleId="FootnoteTextChar">
    <w:name w:val="Footnote Text Char"/>
    <w:basedOn w:val="DefaultParagraphFont"/>
    <w:link w:val="FootnoteText"/>
    <w:uiPriority w:val="99"/>
    <w:semiHidden/>
    <w:rsid w:val="00AA4093"/>
    <w:rPr>
      <w:rFonts w:cs="Arial"/>
      <w:color w:val="44546A" w:themeColor="text2"/>
      <w:sz w:val="20"/>
      <w:szCs w:val="20"/>
    </w:rPr>
  </w:style>
  <w:style w:type="character" w:styleId="FootnoteReference">
    <w:name w:val="footnote reference"/>
    <w:basedOn w:val="DefaultParagraphFont"/>
    <w:uiPriority w:val="99"/>
    <w:semiHidden/>
    <w:unhideWhenUsed/>
    <w:rsid w:val="00AA4093"/>
    <w:rPr>
      <w:vertAlign w:val="superscript"/>
    </w:rPr>
  </w:style>
  <w:style w:type="character" w:customStyle="1" w:styleId="TAHCar">
    <w:name w:val="TAH Car"/>
    <w:basedOn w:val="DefaultParagraphFont"/>
    <w:link w:val="TAH"/>
    <w:qFormat/>
    <w:locked/>
    <w:rsid w:val="00F36700"/>
    <w:rPr>
      <w:rFonts w:ascii="Arial" w:hAnsi="Arial" w:cs="Arial"/>
      <w:b/>
      <w:bCs/>
    </w:rPr>
  </w:style>
  <w:style w:type="paragraph" w:customStyle="1" w:styleId="TAH">
    <w:name w:val="TAH"/>
    <w:basedOn w:val="Normal"/>
    <w:link w:val="TAHCar"/>
    <w:qFormat/>
    <w:rsid w:val="00F36700"/>
    <w:pPr>
      <w:keepNext/>
      <w:overflowPunct w:val="0"/>
      <w:autoSpaceDE w:val="0"/>
      <w:autoSpaceDN w:val="0"/>
      <w:spacing w:after="0" w:line="240" w:lineRule="auto"/>
      <w:jc w:val="center"/>
    </w:pPr>
    <w:rPr>
      <w:rFonts w:ascii="Arial" w:hAnsi="Arial" w:cs="Arial"/>
      <w:b/>
      <w:bCs/>
      <w:sz w:val="22"/>
      <w:lang w:val="en-US"/>
    </w:rPr>
  </w:style>
  <w:style w:type="character" w:customStyle="1" w:styleId="TALCar">
    <w:name w:val="TAL Car"/>
    <w:basedOn w:val="DefaultParagraphFont"/>
    <w:link w:val="TAL"/>
    <w:locked/>
    <w:rsid w:val="00EE4BCD"/>
    <w:rPr>
      <w:rFonts w:ascii="Arial" w:hAnsi="Arial" w:cs="Arial"/>
    </w:rPr>
  </w:style>
  <w:style w:type="paragraph" w:customStyle="1" w:styleId="TAL">
    <w:name w:val="TAL"/>
    <w:basedOn w:val="Normal"/>
    <w:link w:val="TALCar"/>
    <w:rsid w:val="00EE4BCD"/>
    <w:pPr>
      <w:keepNext/>
      <w:overflowPunct w:val="0"/>
      <w:autoSpaceDE w:val="0"/>
      <w:autoSpaceDN w:val="0"/>
      <w:spacing w:after="0" w:line="240" w:lineRule="auto"/>
    </w:pPr>
    <w:rPr>
      <w:rFonts w:ascii="Arial" w:hAnsi="Arial" w:cs="Arial"/>
      <w:sz w:val="22"/>
      <w:lang w:val="en-US"/>
    </w:rPr>
  </w:style>
  <w:style w:type="paragraph" w:styleId="Revision">
    <w:name w:val="Revision"/>
    <w:hidden/>
    <w:uiPriority w:val="99"/>
    <w:semiHidden/>
    <w:rsid w:val="00706853"/>
    <w:pPr>
      <w:spacing w:after="0" w:line="240" w:lineRule="auto"/>
    </w:pPr>
    <w:rPr>
      <w:rFonts w:ascii="Times New Roman" w:hAnsi="Times New Roman"/>
      <w:sz w:val="20"/>
      <w:lang w:val="en-GB"/>
    </w:rPr>
  </w:style>
  <w:style w:type="character" w:styleId="Mention">
    <w:name w:val="Mention"/>
    <w:basedOn w:val="DefaultParagraphFont"/>
    <w:uiPriority w:val="99"/>
    <w:unhideWhenUsed/>
    <w:rsid w:val="008806F2"/>
    <w:rPr>
      <w:color w:val="2B579A"/>
      <w:shd w:val="clear" w:color="auto" w:fill="E1DFDD"/>
    </w:rPr>
  </w:style>
  <w:style w:type="paragraph" w:styleId="Date">
    <w:name w:val="Date"/>
    <w:basedOn w:val="Normal"/>
    <w:next w:val="Normal"/>
    <w:link w:val="DateChar"/>
    <w:uiPriority w:val="99"/>
    <w:unhideWhenUsed/>
    <w:qFormat/>
    <w:rsid w:val="00D24B07"/>
    <w:pPr>
      <w:tabs>
        <w:tab w:val="left" w:pos="720"/>
      </w:tabs>
      <w:overflowPunct w:val="0"/>
      <w:autoSpaceDE w:val="0"/>
      <w:autoSpaceDN w:val="0"/>
      <w:adjustRightInd w:val="0"/>
      <w:spacing w:after="180" w:line="240" w:lineRule="auto"/>
      <w:ind w:leftChars="2500" w:left="100"/>
    </w:pPr>
    <w:rPr>
      <w:rFonts w:eastAsia="SimSun" w:cs="Times New Roman"/>
      <w:szCs w:val="20"/>
    </w:rPr>
  </w:style>
  <w:style w:type="character" w:customStyle="1" w:styleId="DateChar">
    <w:name w:val="Date Char"/>
    <w:basedOn w:val="DefaultParagraphFont"/>
    <w:link w:val="Date"/>
    <w:uiPriority w:val="99"/>
    <w:qFormat/>
    <w:rsid w:val="00D24B07"/>
    <w:rPr>
      <w:rFonts w:ascii="Times New Roman" w:eastAsia="SimSun" w:hAnsi="Times New Roman" w:cs="Times New Roman"/>
      <w:sz w:val="20"/>
      <w:szCs w:val="20"/>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
    <w:rsid w:val="00483B63"/>
    <w:rPr>
      <w:b/>
      <w:lang w:val="en-GB"/>
    </w:rPr>
  </w:style>
  <w:style w:type="character" w:customStyle="1" w:styleId="ReferenceChar">
    <w:name w:val="Reference Char"/>
    <w:link w:val="Reference"/>
    <w:uiPriority w:val="99"/>
    <w:locked/>
    <w:rsid w:val="00DA6098"/>
    <w:rPr>
      <w:lang w:eastAsia="da-DK"/>
    </w:rPr>
  </w:style>
  <w:style w:type="paragraph" w:customStyle="1" w:styleId="Reference">
    <w:name w:val="Reference"/>
    <w:basedOn w:val="Normal"/>
    <w:link w:val="ReferenceChar"/>
    <w:uiPriority w:val="99"/>
    <w:qFormat/>
    <w:rsid w:val="00DA6098"/>
    <w:pPr>
      <w:keepLines/>
      <w:numPr>
        <w:numId w:val="8"/>
      </w:numPr>
      <w:overflowPunct w:val="0"/>
      <w:autoSpaceDE w:val="0"/>
      <w:autoSpaceDN w:val="0"/>
      <w:adjustRightInd w:val="0"/>
      <w:spacing w:after="60" w:line="240" w:lineRule="auto"/>
    </w:pPr>
    <w:rPr>
      <w:rFonts w:asciiTheme="minorHAnsi" w:hAnsiTheme="minorHAnsi"/>
      <w:sz w:val="22"/>
      <w:lang w:val="en-US" w:eastAsia="da-DK"/>
    </w:rPr>
  </w:style>
  <w:style w:type="paragraph" w:styleId="ListBullet">
    <w:name w:val="List Bullet"/>
    <w:basedOn w:val="List"/>
    <w:semiHidden/>
    <w:rsid w:val="003D5D44"/>
    <w:pPr>
      <w:tabs>
        <w:tab w:val="num" w:pos="360"/>
      </w:tabs>
      <w:overflowPunct w:val="0"/>
      <w:autoSpaceDE w:val="0"/>
      <w:autoSpaceDN w:val="0"/>
      <w:adjustRightInd w:val="0"/>
      <w:spacing w:after="180" w:line="240" w:lineRule="auto"/>
      <w:ind w:left="360" w:hanging="360"/>
      <w:contextualSpacing w:val="0"/>
      <w:textAlignment w:val="baseline"/>
    </w:pPr>
    <w:rPr>
      <w:rFonts w:eastAsia="Times New Roman" w:cs="Times New Roman"/>
      <w:szCs w:val="20"/>
    </w:rPr>
  </w:style>
  <w:style w:type="paragraph" w:customStyle="1" w:styleId="StateHead">
    <w:name w:val="State Head"/>
    <w:basedOn w:val="Normal"/>
    <w:rsid w:val="00143D0C"/>
    <w:pPr>
      <w:keepNext/>
      <w:widowControl w:val="0"/>
      <w:numPr>
        <w:numId w:val="9"/>
      </w:numPr>
      <w:tabs>
        <w:tab w:val="clear" w:pos="420"/>
        <w:tab w:val="num" w:pos="720"/>
      </w:tabs>
      <w:spacing w:before="240" w:after="0" w:line="240" w:lineRule="auto"/>
      <w:ind w:left="720" w:hanging="360"/>
      <w:jc w:val="both"/>
    </w:pPr>
    <w:rPr>
      <w:rFonts w:ascii="Arial" w:eastAsia="SimSun" w:hAnsi="Arial" w:cs="Times New Roman"/>
      <w:b/>
      <w:kern w:val="2"/>
      <w:sz w:val="24"/>
      <w:szCs w:val="20"/>
      <w:u w:val="single"/>
      <w:lang w:val="en-US" w:eastAsia="zh-CN"/>
    </w:rPr>
  </w:style>
  <w:style w:type="character" w:customStyle="1" w:styleId="rynqvb">
    <w:name w:val="rynqvb"/>
    <w:basedOn w:val="DefaultParagraphFont"/>
    <w:rsid w:val="00215DC4"/>
  </w:style>
  <w:style w:type="paragraph" w:customStyle="1" w:styleId="RAN4H4">
    <w:name w:val="RAN4 H4"/>
    <w:basedOn w:val="Heading4"/>
    <w:next w:val="Normal"/>
    <w:link w:val="RAN4H4Char"/>
    <w:qFormat/>
    <w:rsid w:val="007577EF"/>
    <w:pPr>
      <w:spacing w:before="120" w:after="120"/>
    </w:pPr>
    <w:rPr>
      <w:rFonts w:ascii="Arial" w:hAnsi="Arial"/>
      <w:i w:val="0"/>
      <w:color w:val="auto"/>
      <w:sz w:val="24"/>
    </w:rPr>
  </w:style>
  <w:style w:type="character" w:customStyle="1" w:styleId="RAN4H4Char">
    <w:name w:val="RAN4 H4 Char"/>
    <w:basedOn w:val="Heading4Char"/>
    <w:link w:val="RAN4H4"/>
    <w:rsid w:val="007577EF"/>
    <w:rPr>
      <w:rFonts w:ascii="Arial" w:eastAsiaTheme="majorEastAsia" w:hAnsi="Arial" w:cstheme="majorBidi"/>
      <w:i w:val="0"/>
      <w:iCs/>
      <w:color w:val="2F5496" w:themeColor="accent1" w:themeShade="BF"/>
      <w:sz w:val="24"/>
      <w:lang w:val="en-GB"/>
    </w:rPr>
  </w:style>
  <w:style w:type="paragraph" w:customStyle="1" w:styleId="EQ">
    <w:name w:val="EQ"/>
    <w:basedOn w:val="Normal"/>
    <w:next w:val="Normal"/>
    <w:link w:val="EQChar"/>
    <w:rsid w:val="00983BDA"/>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szCs w:val="20"/>
    </w:rPr>
  </w:style>
  <w:style w:type="character" w:customStyle="1" w:styleId="EQChar">
    <w:name w:val="EQ Char"/>
    <w:link w:val="EQ"/>
    <w:qFormat/>
    <w:rsid w:val="00983BDA"/>
    <w:rPr>
      <w:rFonts w:ascii="Times New Roman" w:eastAsia="Times New Roman" w:hAnsi="Times New Roman" w:cs="Times New Roman"/>
      <w:noProof/>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708794">
      <w:bodyDiv w:val="1"/>
      <w:marLeft w:val="0"/>
      <w:marRight w:val="0"/>
      <w:marTop w:val="0"/>
      <w:marBottom w:val="0"/>
      <w:divBdr>
        <w:top w:val="none" w:sz="0" w:space="0" w:color="auto"/>
        <w:left w:val="none" w:sz="0" w:space="0" w:color="auto"/>
        <w:bottom w:val="none" w:sz="0" w:space="0" w:color="auto"/>
        <w:right w:val="none" w:sz="0" w:space="0" w:color="auto"/>
      </w:divBdr>
    </w:div>
    <w:div w:id="236868023">
      <w:bodyDiv w:val="1"/>
      <w:marLeft w:val="0"/>
      <w:marRight w:val="0"/>
      <w:marTop w:val="0"/>
      <w:marBottom w:val="0"/>
      <w:divBdr>
        <w:top w:val="none" w:sz="0" w:space="0" w:color="auto"/>
        <w:left w:val="none" w:sz="0" w:space="0" w:color="auto"/>
        <w:bottom w:val="none" w:sz="0" w:space="0" w:color="auto"/>
        <w:right w:val="none" w:sz="0" w:space="0" w:color="auto"/>
      </w:divBdr>
    </w:div>
    <w:div w:id="343290161">
      <w:bodyDiv w:val="1"/>
      <w:marLeft w:val="0"/>
      <w:marRight w:val="0"/>
      <w:marTop w:val="0"/>
      <w:marBottom w:val="0"/>
      <w:divBdr>
        <w:top w:val="none" w:sz="0" w:space="0" w:color="auto"/>
        <w:left w:val="none" w:sz="0" w:space="0" w:color="auto"/>
        <w:bottom w:val="none" w:sz="0" w:space="0" w:color="auto"/>
        <w:right w:val="none" w:sz="0" w:space="0" w:color="auto"/>
      </w:divBdr>
    </w:div>
    <w:div w:id="343635459">
      <w:bodyDiv w:val="1"/>
      <w:marLeft w:val="0"/>
      <w:marRight w:val="0"/>
      <w:marTop w:val="0"/>
      <w:marBottom w:val="0"/>
      <w:divBdr>
        <w:top w:val="none" w:sz="0" w:space="0" w:color="auto"/>
        <w:left w:val="none" w:sz="0" w:space="0" w:color="auto"/>
        <w:bottom w:val="none" w:sz="0" w:space="0" w:color="auto"/>
        <w:right w:val="none" w:sz="0" w:space="0" w:color="auto"/>
      </w:divBdr>
    </w:div>
    <w:div w:id="601718141">
      <w:bodyDiv w:val="1"/>
      <w:marLeft w:val="0"/>
      <w:marRight w:val="0"/>
      <w:marTop w:val="0"/>
      <w:marBottom w:val="0"/>
      <w:divBdr>
        <w:top w:val="none" w:sz="0" w:space="0" w:color="auto"/>
        <w:left w:val="none" w:sz="0" w:space="0" w:color="auto"/>
        <w:bottom w:val="none" w:sz="0" w:space="0" w:color="auto"/>
        <w:right w:val="none" w:sz="0" w:space="0" w:color="auto"/>
      </w:divBdr>
    </w:div>
    <w:div w:id="602029904">
      <w:bodyDiv w:val="1"/>
      <w:marLeft w:val="0"/>
      <w:marRight w:val="0"/>
      <w:marTop w:val="0"/>
      <w:marBottom w:val="0"/>
      <w:divBdr>
        <w:top w:val="none" w:sz="0" w:space="0" w:color="auto"/>
        <w:left w:val="none" w:sz="0" w:space="0" w:color="auto"/>
        <w:bottom w:val="none" w:sz="0" w:space="0" w:color="auto"/>
        <w:right w:val="none" w:sz="0" w:space="0" w:color="auto"/>
      </w:divBdr>
    </w:div>
    <w:div w:id="635334088">
      <w:bodyDiv w:val="1"/>
      <w:marLeft w:val="0"/>
      <w:marRight w:val="0"/>
      <w:marTop w:val="0"/>
      <w:marBottom w:val="0"/>
      <w:divBdr>
        <w:top w:val="none" w:sz="0" w:space="0" w:color="auto"/>
        <w:left w:val="none" w:sz="0" w:space="0" w:color="auto"/>
        <w:bottom w:val="none" w:sz="0" w:space="0" w:color="auto"/>
        <w:right w:val="none" w:sz="0" w:space="0" w:color="auto"/>
      </w:divBdr>
    </w:div>
    <w:div w:id="772171679">
      <w:bodyDiv w:val="1"/>
      <w:marLeft w:val="0"/>
      <w:marRight w:val="0"/>
      <w:marTop w:val="0"/>
      <w:marBottom w:val="0"/>
      <w:divBdr>
        <w:top w:val="none" w:sz="0" w:space="0" w:color="auto"/>
        <w:left w:val="none" w:sz="0" w:space="0" w:color="auto"/>
        <w:bottom w:val="none" w:sz="0" w:space="0" w:color="auto"/>
        <w:right w:val="none" w:sz="0" w:space="0" w:color="auto"/>
      </w:divBdr>
    </w:div>
    <w:div w:id="971210416">
      <w:bodyDiv w:val="1"/>
      <w:marLeft w:val="0"/>
      <w:marRight w:val="0"/>
      <w:marTop w:val="0"/>
      <w:marBottom w:val="0"/>
      <w:divBdr>
        <w:top w:val="none" w:sz="0" w:space="0" w:color="auto"/>
        <w:left w:val="none" w:sz="0" w:space="0" w:color="auto"/>
        <w:bottom w:val="none" w:sz="0" w:space="0" w:color="auto"/>
        <w:right w:val="none" w:sz="0" w:space="0" w:color="auto"/>
      </w:divBdr>
    </w:div>
    <w:div w:id="1015766583">
      <w:bodyDiv w:val="1"/>
      <w:marLeft w:val="0"/>
      <w:marRight w:val="0"/>
      <w:marTop w:val="0"/>
      <w:marBottom w:val="0"/>
      <w:divBdr>
        <w:top w:val="none" w:sz="0" w:space="0" w:color="auto"/>
        <w:left w:val="none" w:sz="0" w:space="0" w:color="auto"/>
        <w:bottom w:val="none" w:sz="0" w:space="0" w:color="auto"/>
        <w:right w:val="none" w:sz="0" w:space="0" w:color="auto"/>
      </w:divBdr>
    </w:div>
    <w:div w:id="1040478039">
      <w:bodyDiv w:val="1"/>
      <w:marLeft w:val="0"/>
      <w:marRight w:val="0"/>
      <w:marTop w:val="0"/>
      <w:marBottom w:val="0"/>
      <w:divBdr>
        <w:top w:val="none" w:sz="0" w:space="0" w:color="auto"/>
        <w:left w:val="none" w:sz="0" w:space="0" w:color="auto"/>
        <w:bottom w:val="none" w:sz="0" w:space="0" w:color="auto"/>
        <w:right w:val="none" w:sz="0" w:space="0" w:color="auto"/>
      </w:divBdr>
    </w:div>
    <w:div w:id="1064109929">
      <w:bodyDiv w:val="1"/>
      <w:marLeft w:val="0"/>
      <w:marRight w:val="0"/>
      <w:marTop w:val="0"/>
      <w:marBottom w:val="0"/>
      <w:divBdr>
        <w:top w:val="none" w:sz="0" w:space="0" w:color="auto"/>
        <w:left w:val="none" w:sz="0" w:space="0" w:color="auto"/>
        <w:bottom w:val="none" w:sz="0" w:space="0" w:color="auto"/>
        <w:right w:val="none" w:sz="0" w:space="0" w:color="auto"/>
      </w:divBdr>
    </w:div>
    <w:div w:id="1098256530">
      <w:bodyDiv w:val="1"/>
      <w:marLeft w:val="0"/>
      <w:marRight w:val="0"/>
      <w:marTop w:val="0"/>
      <w:marBottom w:val="0"/>
      <w:divBdr>
        <w:top w:val="none" w:sz="0" w:space="0" w:color="auto"/>
        <w:left w:val="none" w:sz="0" w:space="0" w:color="auto"/>
        <w:bottom w:val="none" w:sz="0" w:space="0" w:color="auto"/>
        <w:right w:val="none" w:sz="0" w:space="0" w:color="auto"/>
      </w:divBdr>
    </w:div>
    <w:div w:id="1435324410">
      <w:bodyDiv w:val="1"/>
      <w:marLeft w:val="0"/>
      <w:marRight w:val="0"/>
      <w:marTop w:val="0"/>
      <w:marBottom w:val="0"/>
      <w:divBdr>
        <w:top w:val="none" w:sz="0" w:space="0" w:color="auto"/>
        <w:left w:val="none" w:sz="0" w:space="0" w:color="auto"/>
        <w:bottom w:val="none" w:sz="0" w:space="0" w:color="auto"/>
        <w:right w:val="none" w:sz="0" w:space="0" w:color="auto"/>
      </w:divBdr>
      <w:divsChild>
        <w:div w:id="18163366">
          <w:marLeft w:val="1800"/>
          <w:marRight w:val="0"/>
          <w:marTop w:val="0"/>
          <w:marBottom w:val="0"/>
          <w:divBdr>
            <w:top w:val="none" w:sz="0" w:space="0" w:color="auto"/>
            <w:left w:val="none" w:sz="0" w:space="0" w:color="auto"/>
            <w:bottom w:val="none" w:sz="0" w:space="0" w:color="auto"/>
            <w:right w:val="none" w:sz="0" w:space="0" w:color="auto"/>
          </w:divBdr>
        </w:div>
        <w:div w:id="424502301">
          <w:marLeft w:val="1166"/>
          <w:marRight w:val="0"/>
          <w:marTop w:val="0"/>
          <w:marBottom w:val="0"/>
          <w:divBdr>
            <w:top w:val="none" w:sz="0" w:space="0" w:color="auto"/>
            <w:left w:val="none" w:sz="0" w:space="0" w:color="auto"/>
            <w:bottom w:val="none" w:sz="0" w:space="0" w:color="auto"/>
            <w:right w:val="none" w:sz="0" w:space="0" w:color="auto"/>
          </w:divBdr>
        </w:div>
        <w:div w:id="473719004">
          <w:marLeft w:val="1166"/>
          <w:marRight w:val="0"/>
          <w:marTop w:val="0"/>
          <w:marBottom w:val="0"/>
          <w:divBdr>
            <w:top w:val="none" w:sz="0" w:space="0" w:color="auto"/>
            <w:left w:val="none" w:sz="0" w:space="0" w:color="auto"/>
            <w:bottom w:val="none" w:sz="0" w:space="0" w:color="auto"/>
            <w:right w:val="none" w:sz="0" w:space="0" w:color="auto"/>
          </w:divBdr>
        </w:div>
        <w:div w:id="639381363">
          <w:marLeft w:val="1800"/>
          <w:marRight w:val="0"/>
          <w:marTop w:val="0"/>
          <w:marBottom w:val="0"/>
          <w:divBdr>
            <w:top w:val="none" w:sz="0" w:space="0" w:color="auto"/>
            <w:left w:val="none" w:sz="0" w:space="0" w:color="auto"/>
            <w:bottom w:val="none" w:sz="0" w:space="0" w:color="auto"/>
            <w:right w:val="none" w:sz="0" w:space="0" w:color="auto"/>
          </w:divBdr>
        </w:div>
        <w:div w:id="745227304">
          <w:marLeft w:val="1166"/>
          <w:marRight w:val="0"/>
          <w:marTop w:val="0"/>
          <w:marBottom w:val="0"/>
          <w:divBdr>
            <w:top w:val="none" w:sz="0" w:space="0" w:color="auto"/>
            <w:left w:val="none" w:sz="0" w:space="0" w:color="auto"/>
            <w:bottom w:val="none" w:sz="0" w:space="0" w:color="auto"/>
            <w:right w:val="none" w:sz="0" w:space="0" w:color="auto"/>
          </w:divBdr>
        </w:div>
        <w:div w:id="809900436">
          <w:marLeft w:val="1166"/>
          <w:marRight w:val="0"/>
          <w:marTop w:val="0"/>
          <w:marBottom w:val="0"/>
          <w:divBdr>
            <w:top w:val="none" w:sz="0" w:space="0" w:color="auto"/>
            <w:left w:val="none" w:sz="0" w:space="0" w:color="auto"/>
            <w:bottom w:val="none" w:sz="0" w:space="0" w:color="auto"/>
            <w:right w:val="none" w:sz="0" w:space="0" w:color="auto"/>
          </w:divBdr>
        </w:div>
        <w:div w:id="850725106">
          <w:marLeft w:val="533"/>
          <w:marRight w:val="0"/>
          <w:marTop w:val="0"/>
          <w:marBottom w:val="0"/>
          <w:divBdr>
            <w:top w:val="none" w:sz="0" w:space="0" w:color="auto"/>
            <w:left w:val="none" w:sz="0" w:space="0" w:color="auto"/>
            <w:bottom w:val="none" w:sz="0" w:space="0" w:color="auto"/>
            <w:right w:val="none" w:sz="0" w:space="0" w:color="auto"/>
          </w:divBdr>
        </w:div>
        <w:div w:id="1067849238">
          <w:marLeft w:val="533"/>
          <w:marRight w:val="0"/>
          <w:marTop w:val="0"/>
          <w:marBottom w:val="0"/>
          <w:divBdr>
            <w:top w:val="none" w:sz="0" w:space="0" w:color="auto"/>
            <w:left w:val="none" w:sz="0" w:space="0" w:color="auto"/>
            <w:bottom w:val="none" w:sz="0" w:space="0" w:color="auto"/>
            <w:right w:val="none" w:sz="0" w:space="0" w:color="auto"/>
          </w:divBdr>
        </w:div>
        <w:div w:id="1357195592">
          <w:marLeft w:val="1800"/>
          <w:marRight w:val="0"/>
          <w:marTop w:val="0"/>
          <w:marBottom w:val="0"/>
          <w:divBdr>
            <w:top w:val="none" w:sz="0" w:space="0" w:color="auto"/>
            <w:left w:val="none" w:sz="0" w:space="0" w:color="auto"/>
            <w:bottom w:val="none" w:sz="0" w:space="0" w:color="auto"/>
            <w:right w:val="none" w:sz="0" w:space="0" w:color="auto"/>
          </w:divBdr>
        </w:div>
        <w:div w:id="1371413856">
          <w:marLeft w:val="1800"/>
          <w:marRight w:val="0"/>
          <w:marTop w:val="0"/>
          <w:marBottom w:val="0"/>
          <w:divBdr>
            <w:top w:val="none" w:sz="0" w:space="0" w:color="auto"/>
            <w:left w:val="none" w:sz="0" w:space="0" w:color="auto"/>
            <w:bottom w:val="none" w:sz="0" w:space="0" w:color="auto"/>
            <w:right w:val="none" w:sz="0" w:space="0" w:color="auto"/>
          </w:divBdr>
        </w:div>
        <w:div w:id="1373067766">
          <w:marLeft w:val="1166"/>
          <w:marRight w:val="0"/>
          <w:marTop w:val="0"/>
          <w:marBottom w:val="0"/>
          <w:divBdr>
            <w:top w:val="none" w:sz="0" w:space="0" w:color="auto"/>
            <w:left w:val="none" w:sz="0" w:space="0" w:color="auto"/>
            <w:bottom w:val="none" w:sz="0" w:space="0" w:color="auto"/>
            <w:right w:val="none" w:sz="0" w:space="0" w:color="auto"/>
          </w:divBdr>
        </w:div>
        <w:div w:id="1939560141">
          <w:marLeft w:val="1800"/>
          <w:marRight w:val="0"/>
          <w:marTop w:val="0"/>
          <w:marBottom w:val="0"/>
          <w:divBdr>
            <w:top w:val="none" w:sz="0" w:space="0" w:color="auto"/>
            <w:left w:val="none" w:sz="0" w:space="0" w:color="auto"/>
            <w:bottom w:val="none" w:sz="0" w:space="0" w:color="auto"/>
            <w:right w:val="none" w:sz="0" w:space="0" w:color="auto"/>
          </w:divBdr>
        </w:div>
        <w:div w:id="2109503376">
          <w:marLeft w:val="1800"/>
          <w:marRight w:val="0"/>
          <w:marTop w:val="0"/>
          <w:marBottom w:val="0"/>
          <w:divBdr>
            <w:top w:val="none" w:sz="0" w:space="0" w:color="auto"/>
            <w:left w:val="none" w:sz="0" w:space="0" w:color="auto"/>
            <w:bottom w:val="none" w:sz="0" w:space="0" w:color="auto"/>
            <w:right w:val="none" w:sz="0" w:space="0" w:color="auto"/>
          </w:divBdr>
        </w:div>
      </w:divsChild>
    </w:div>
    <w:div w:id="1467358630">
      <w:bodyDiv w:val="1"/>
      <w:marLeft w:val="0"/>
      <w:marRight w:val="0"/>
      <w:marTop w:val="0"/>
      <w:marBottom w:val="0"/>
      <w:divBdr>
        <w:top w:val="none" w:sz="0" w:space="0" w:color="auto"/>
        <w:left w:val="none" w:sz="0" w:space="0" w:color="auto"/>
        <w:bottom w:val="none" w:sz="0" w:space="0" w:color="auto"/>
        <w:right w:val="none" w:sz="0" w:space="0" w:color="auto"/>
      </w:divBdr>
    </w:div>
    <w:div w:id="1505823620">
      <w:bodyDiv w:val="1"/>
      <w:marLeft w:val="0"/>
      <w:marRight w:val="0"/>
      <w:marTop w:val="0"/>
      <w:marBottom w:val="0"/>
      <w:divBdr>
        <w:top w:val="none" w:sz="0" w:space="0" w:color="auto"/>
        <w:left w:val="none" w:sz="0" w:space="0" w:color="auto"/>
        <w:bottom w:val="none" w:sz="0" w:space="0" w:color="auto"/>
        <w:right w:val="none" w:sz="0" w:space="0" w:color="auto"/>
      </w:divBdr>
    </w:div>
    <w:div w:id="1719549215">
      <w:bodyDiv w:val="1"/>
      <w:marLeft w:val="0"/>
      <w:marRight w:val="0"/>
      <w:marTop w:val="0"/>
      <w:marBottom w:val="0"/>
      <w:divBdr>
        <w:top w:val="none" w:sz="0" w:space="0" w:color="auto"/>
        <w:left w:val="none" w:sz="0" w:space="0" w:color="auto"/>
        <w:bottom w:val="none" w:sz="0" w:space="0" w:color="auto"/>
        <w:right w:val="none" w:sz="0" w:space="0" w:color="auto"/>
      </w:divBdr>
    </w:div>
    <w:div w:id="1877817284">
      <w:bodyDiv w:val="1"/>
      <w:marLeft w:val="0"/>
      <w:marRight w:val="0"/>
      <w:marTop w:val="0"/>
      <w:marBottom w:val="0"/>
      <w:divBdr>
        <w:top w:val="none" w:sz="0" w:space="0" w:color="auto"/>
        <w:left w:val="none" w:sz="0" w:space="0" w:color="auto"/>
        <w:bottom w:val="none" w:sz="0" w:space="0" w:color="auto"/>
        <w:right w:val="none" w:sz="0" w:space="0" w:color="auto"/>
      </w:divBdr>
    </w:div>
    <w:div w:id="2043091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7" ma:contentTypeDescription="Create a new document." ma:contentTypeScope="" ma:versionID="571d2749618af9368213d3a0f6a0c00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8ac890d596b8e9341e6d51c030980e46"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RBI5PAMIO524-1616901215-61151</_dlc_DocId>
    <HideFromDelve xmlns="71c5aaf6-e6ce-465b-b873-5148d2a4c105">false</HideFromDelve>
    <_dlc_DocIdUrl xmlns="71c5aaf6-e6ce-465b-b873-5148d2a4c105">
      <Url>https://nokia.sharepoint.com/sites/gxp/_layouts/15/DocIdRedir.aspx?ID=RBI5PAMIO524-1616901215-61151</Url>
      <Description>RBI5PAMIO524-1616901215-61151</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documentManagement>
</p:properti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2.xml><?xml version="1.0" encoding="utf-8"?>
<ds:datastoreItem xmlns:ds="http://schemas.openxmlformats.org/officeDocument/2006/customXml" ds:itemID="{4851CA08-A709-4F6F-8FCB-D6B3AD8D35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4.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5.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6.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69</TotalTime>
  <Pages>11</Pages>
  <Words>4710</Words>
  <Characters>26850</Characters>
  <Application>Microsoft Office Word</Application>
  <DocSecurity>0</DocSecurity>
  <Lines>223</Lines>
  <Paragraphs>62</Paragraphs>
  <ScaleCrop>false</ScaleCrop>
  <Company/>
  <LinksUpToDate>false</LinksUpToDate>
  <CharactersWithSpaces>31498</CharactersWithSpaces>
  <SharedDoc>false</SharedDoc>
  <HLinks>
    <vt:vector size="180" baseType="variant">
      <vt:variant>
        <vt:i4>1835058</vt:i4>
      </vt:variant>
      <vt:variant>
        <vt:i4>86</vt:i4>
      </vt:variant>
      <vt:variant>
        <vt:i4>0</vt:i4>
      </vt:variant>
      <vt:variant>
        <vt:i4>5</vt:i4>
      </vt:variant>
      <vt:variant>
        <vt:lpwstr/>
      </vt:variant>
      <vt:variant>
        <vt:lpwstr>_Toc213270483</vt:lpwstr>
      </vt:variant>
      <vt:variant>
        <vt:i4>1835058</vt:i4>
      </vt:variant>
      <vt:variant>
        <vt:i4>83</vt:i4>
      </vt:variant>
      <vt:variant>
        <vt:i4>0</vt:i4>
      </vt:variant>
      <vt:variant>
        <vt:i4>5</vt:i4>
      </vt:variant>
      <vt:variant>
        <vt:lpwstr/>
      </vt:variant>
      <vt:variant>
        <vt:lpwstr>_Toc213270482</vt:lpwstr>
      </vt:variant>
      <vt:variant>
        <vt:i4>1835058</vt:i4>
      </vt:variant>
      <vt:variant>
        <vt:i4>80</vt:i4>
      </vt:variant>
      <vt:variant>
        <vt:i4>0</vt:i4>
      </vt:variant>
      <vt:variant>
        <vt:i4>5</vt:i4>
      </vt:variant>
      <vt:variant>
        <vt:lpwstr/>
      </vt:variant>
      <vt:variant>
        <vt:lpwstr>_Toc213270481</vt:lpwstr>
      </vt:variant>
      <vt:variant>
        <vt:i4>1835058</vt:i4>
      </vt:variant>
      <vt:variant>
        <vt:i4>77</vt:i4>
      </vt:variant>
      <vt:variant>
        <vt:i4>0</vt:i4>
      </vt:variant>
      <vt:variant>
        <vt:i4>5</vt:i4>
      </vt:variant>
      <vt:variant>
        <vt:lpwstr/>
      </vt:variant>
      <vt:variant>
        <vt:lpwstr>_Toc213270480</vt:lpwstr>
      </vt:variant>
      <vt:variant>
        <vt:i4>1245234</vt:i4>
      </vt:variant>
      <vt:variant>
        <vt:i4>74</vt:i4>
      </vt:variant>
      <vt:variant>
        <vt:i4>0</vt:i4>
      </vt:variant>
      <vt:variant>
        <vt:i4>5</vt:i4>
      </vt:variant>
      <vt:variant>
        <vt:lpwstr/>
      </vt:variant>
      <vt:variant>
        <vt:lpwstr>_Toc213270479</vt:lpwstr>
      </vt:variant>
      <vt:variant>
        <vt:i4>1245234</vt:i4>
      </vt:variant>
      <vt:variant>
        <vt:i4>71</vt:i4>
      </vt:variant>
      <vt:variant>
        <vt:i4>0</vt:i4>
      </vt:variant>
      <vt:variant>
        <vt:i4>5</vt:i4>
      </vt:variant>
      <vt:variant>
        <vt:lpwstr/>
      </vt:variant>
      <vt:variant>
        <vt:lpwstr>_Toc213270478</vt:lpwstr>
      </vt:variant>
      <vt:variant>
        <vt:i4>1245234</vt:i4>
      </vt:variant>
      <vt:variant>
        <vt:i4>68</vt:i4>
      </vt:variant>
      <vt:variant>
        <vt:i4>0</vt:i4>
      </vt:variant>
      <vt:variant>
        <vt:i4>5</vt:i4>
      </vt:variant>
      <vt:variant>
        <vt:lpwstr/>
      </vt:variant>
      <vt:variant>
        <vt:lpwstr>_Toc213270477</vt:lpwstr>
      </vt:variant>
      <vt:variant>
        <vt:i4>1245234</vt:i4>
      </vt:variant>
      <vt:variant>
        <vt:i4>65</vt:i4>
      </vt:variant>
      <vt:variant>
        <vt:i4>0</vt:i4>
      </vt:variant>
      <vt:variant>
        <vt:i4>5</vt:i4>
      </vt:variant>
      <vt:variant>
        <vt:lpwstr/>
      </vt:variant>
      <vt:variant>
        <vt:lpwstr>_Toc213270476</vt:lpwstr>
      </vt:variant>
      <vt:variant>
        <vt:i4>1245234</vt:i4>
      </vt:variant>
      <vt:variant>
        <vt:i4>62</vt:i4>
      </vt:variant>
      <vt:variant>
        <vt:i4>0</vt:i4>
      </vt:variant>
      <vt:variant>
        <vt:i4>5</vt:i4>
      </vt:variant>
      <vt:variant>
        <vt:lpwstr/>
      </vt:variant>
      <vt:variant>
        <vt:lpwstr>_Toc213270475</vt:lpwstr>
      </vt:variant>
      <vt:variant>
        <vt:i4>1245234</vt:i4>
      </vt:variant>
      <vt:variant>
        <vt:i4>59</vt:i4>
      </vt:variant>
      <vt:variant>
        <vt:i4>0</vt:i4>
      </vt:variant>
      <vt:variant>
        <vt:i4>5</vt:i4>
      </vt:variant>
      <vt:variant>
        <vt:lpwstr/>
      </vt:variant>
      <vt:variant>
        <vt:lpwstr>_Toc213270474</vt:lpwstr>
      </vt:variant>
      <vt:variant>
        <vt:i4>1245234</vt:i4>
      </vt:variant>
      <vt:variant>
        <vt:i4>56</vt:i4>
      </vt:variant>
      <vt:variant>
        <vt:i4>0</vt:i4>
      </vt:variant>
      <vt:variant>
        <vt:i4>5</vt:i4>
      </vt:variant>
      <vt:variant>
        <vt:lpwstr/>
      </vt:variant>
      <vt:variant>
        <vt:lpwstr>_Toc213270473</vt:lpwstr>
      </vt:variant>
      <vt:variant>
        <vt:i4>1245234</vt:i4>
      </vt:variant>
      <vt:variant>
        <vt:i4>53</vt:i4>
      </vt:variant>
      <vt:variant>
        <vt:i4>0</vt:i4>
      </vt:variant>
      <vt:variant>
        <vt:i4>5</vt:i4>
      </vt:variant>
      <vt:variant>
        <vt:lpwstr/>
      </vt:variant>
      <vt:variant>
        <vt:lpwstr>_Toc213270472</vt:lpwstr>
      </vt:variant>
      <vt:variant>
        <vt:i4>1245234</vt:i4>
      </vt:variant>
      <vt:variant>
        <vt:i4>50</vt:i4>
      </vt:variant>
      <vt:variant>
        <vt:i4>0</vt:i4>
      </vt:variant>
      <vt:variant>
        <vt:i4>5</vt:i4>
      </vt:variant>
      <vt:variant>
        <vt:lpwstr/>
      </vt:variant>
      <vt:variant>
        <vt:lpwstr>_Toc213270471</vt:lpwstr>
      </vt:variant>
      <vt:variant>
        <vt:i4>1245234</vt:i4>
      </vt:variant>
      <vt:variant>
        <vt:i4>47</vt:i4>
      </vt:variant>
      <vt:variant>
        <vt:i4>0</vt:i4>
      </vt:variant>
      <vt:variant>
        <vt:i4>5</vt:i4>
      </vt:variant>
      <vt:variant>
        <vt:lpwstr/>
      </vt:variant>
      <vt:variant>
        <vt:lpwstr>_Toc213270470</vt:lpwstr>
      </vt:variant>
      <vt:variant>
        <vt:i4>1179698</vt:i4>
      </vt:variant>
      <vt:variant>
        <vt:i4>44</vt:i4>
      </vt:variant>
      <vt:variant>
        <vt:i4>0</vt:i4>
      </vt:variant>
      <vt:variant>
        <vt:i4>5</vt:i4>
      </vt:variant>
      <vt:variant>
        <vt:lpwstr/>
      </vt:variant>
      <vt:variant>
        <vt:lpwstr>_Toc213270469</vt:lpwstr>
      </vt:variant>
      <vt:variant>
        <vt:i4>1179698</vt:i4>
      </vt:variant>
      <vt:variant>
        <vt:i4>41</vt:i4>
      </vt:variant>
      <vt:variant>
        <vt:i4>0</vt:i4>
      </vt:variant>
      <vt:variant>
        <vt:i4>5</vt:i4>
      </vt:variant>
      <vt:variant>
        <vt:lpwstr/>
      </vt:variant>
      <vt:variant>
        <vt:lpwstr>_Toc213270468</vt:lpwstr>
      </vt:variant>
      <vt:variant>
        <vt:i4>1179698</vt:i4>
      </vt:variant>
      <vt:variant>
        <vt:i4>38</vt:i4>
      </vt:variant>
      <vt:variant>
        <vt:i4>0</vt:i4>
      </vt:variant>
      <vt:variant>
        <vt:i4>5</vt:i4>
      </vt:variant>
      <vt:variant>
        <vt:lpwstr/>
      </vt:variant>
      <vt:variant>
        <vt:lpwstr>_Toc213270467</vt:lpwstr>
      </vt:variant>
      <vt:variant>
        <vt:i4>1179698</vt:i4>
      </vt:variant>
      <vt:variant>
        <vt:i4>35</vt:i4>
      </vt:variant>
      <vt:variant>
        <vt:i4>0</vt:i4>
      </vt:variant>
      <vt:variant>
        <vt:i4>5</vt:i4>
      </vt:variant>
      <vt:variant>
        <vt:lpwstr/>
      </vt:variant>
      <vt:variant>
        <vt:lpwstr>_Toc213270466</vt:lpwstr>
      </vt:variant>
      <vt:variant>
        <vt:i4>1179698</vt:i4>
      </vt:variant>
      <vt:variant>
        <vt:i4>32</vt:i4>
      </vt:variant>
      <vt:variant>
        <vt:i4>0</vt:i4>
      </vt:variant>
      <vt:variant>
        <vt:i4>5</vt:i4>
      </vt:variant>
      <vt:variant>
        <vt:lpwstr/>
      </vt:variant>
      <vt:variant>
        <vt:lpwstr>_Toc213270465</vt:lpwstr>
      </vt:variant>
      <vt:variant>
        <vt:i4>1179698</vt:i4>
      </vt:variant>
      <vt:variant>
        <vt:i4>29</vt:i4>
      </vt:variant>
      <vt:variant>
        <vt:i4>0</vt:i4>
      </vt:variant>
      <vt:variant>
        <vt:i4>5</vt:i4>
      </vt:variant>
      <vt:variant>
        <vt:lpwstr/>
      </vt:variant>
      <vt:variant>
        <vt:lpwstr>_Toc213270464</vt:lpwstr>
      </vt:variant>
      <vt:variant>
        <vt:i4>1179698</vt:i4>
      </vt:variant>
      <vt:variant>
        <vt:i4>26</vt:i4>
      </vt:variant>
      <vt:variant>
        <vt:i4>0</vt:i4>
      </vt:variant>
      <vt:variant>
        <vt:i4>5</vt:i4>
      </vt:variant>
      <vt:variant>
        <vt:lpwstr/>
      </vt:variant>
      <vt:variant>
        <vt:lpwstr>_Toc213270463</vt:lpwstr>
      </vt:variant>
      <vt:variant>
        <vt:i4>1179698</vt:i4>
      </vt:variant>
      <vt:variant>
        <vt:i4>23</vt:i4>
      </vt:variant>
      <vt:variant>
        <vt:i4>0</vt:i4>
      </vt:variant>
      <vt:variant>
        <vt:i4>5</vt:i4>
      </vt:variant>
      <vt:variant>
        <vt:lpwstr/>
      </vt:variant>
      <vt:variant>
        <vt:lpwstr>_Toc213270462</vt:lpwstr>
      </vt:variant>
      <vt:variant>
        <vt:i4>1179698</vt:i4>
      </vt:variant>
      <vt:variant>
        <vt:i4>20</vt:i4>
      </vt:variant>
      <vt:variant>
        <vt:i4>0</vt:i4>
      </vt:variant>
      <vt:variant>
        <vt:i4>5</vt:i4>
      </vt:variant>
      <vt:variant>
        <vt:lpwstr/>
      </vt:variant>
      <vt:variant>
        <vt:lpwstr>_Toc213270461</vt:lpwstr>
      </vt:variant>
      <vt:variant>
        <vt:i4>1179698</vt:i4>
      </vt:variant>
      <vt:variant>
        <vt:i4>17</vt:i4>
      </vt:variant>
      <vt:variant>
        <vt:i4>0</vt:i4>
      </vt:variant>
      <vt:variant>
        <vt:i4>5</vt:i4>
      </vt:variant>
      <vt:variant>
        <vt:lpwstr/>
      </vt:variant>
      <vt:variant>
        <vt:lpwstr>_Toc213270460</vt:lpwstr>
      </vt:variant>
      <vt:variant>
        <vt:i4>1114162</vt:i4>
      </vt:variant>
      <vt:variant>
        <vt:i4>14</vt:i4>
      </vt:variant>
      <vt:variant>
        <vt:i4>0</vt:i4>
      </vt:variant>
      <vt:variant>
        <vt:i4>5</vt:i4>
      </vt:variant>
      <vt:variant>
        <vt:lpwstr/>
      </vt:variant>
      <vt:variant>
        <vt:lpwstr>_Toc213270459</vt:lpwstr>
      </vt:variant>
      <vt:variant>
        <vt:i4>1114162</vt:i4>
      </vt:variant>
      <vt:variant>
        <vt:i4>11</vt:i4>
      </vt:variant>
      <vt:variant>
        <vt:i4>0</vt:i4>
      </vt:variant>
      <vt:variant>
        <vt:i4>5</vt:i4>
      </vt:variant>
      <vt:variant>
        <vt:lpwstr/>
      </vt:variant>
      <vt:variant>
        <vt:lpwstr>_Toc213270458</vt:lpwstr>
      </vt:variant>
      <vt:variant>
        <vt:i4>1114162</vt:i4>
      </vt:variant>
      <vt:variant>
        <vt:i4>8</vt:i4>
      </vt:variant>
      <vt:variant>
        <vt:i4>0</vt:i4>
      </vt:variant>
      <vt:variant>
        <vt:i4>5</vt:i4>
      </vt:variant>
      <vt:variant>
        <vt:lpwstr/>
      </vt:variant>
      <vt:variant>
        <vt:lpwstr>_Toc213270457</vt:lpwstr>
      </vt:variant>
      <vt:variant>
        <vt:i4>1114162</vt:i4>
      </vt:variant>
      <vt:variant>
        <vt:i4>5</vt:i4>
      </vt:variant>
      <vt:variant>
        <vt:i4>0</vt:i4>
      </vt:variant>
      <vt:variant>
        <vt:i4>5</vt:i4>
      </vt:variant>
      <vt:variant>
        <vt:lpwstr/>
      </vt:variant>
      <vt:variant>
        <vt:lpwstr>_Toc213270456</vt:lpwstr>
      </vt:variant>
      <vt:variant>
        <vt:i4>1114162</vt:i4>
      </vt:variant>
      <vt:variant>
        <vt:i4>2</vt:i4>
      </vt:variant>
      <vt:variant>
        <vt:i4>0</vt:i4>
      </vt:variant>
      <vt:variant>
        <vt:i4>5</vt:i4>
      </vt:variant>
      <vt:variant>
        <vt:lpwstr/>
      </vt:variant>
      <vt:variant>
        <vt:lpwstr>_Toc213270455</vt:lpwstr>
      </vt:variant>
      <vt:variant>
        <vt:i4>7077959</vt:i4>
      </vt:variant>
      <vt:variant>
        <vt:i4>0</vt:i4>
      </vt:variant>
      <vt:variant>
        <vt:i4>0</vt:i4>
      </vt:variant>
      <vt:variant>
        <vt:i4>5</vt:i4>
      </vt:variant>
      <vt:variant>
        <vt:lpwstr>mailto:petri.j.vasenkari@nokia.com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Nokia</cp:lastModifiedBy>
  <cp:revision>175</cp:revision>
  <dcterms:created xsi:type="dcterms:W3CDTF">2025-10-23T05:06:00Z</dcterms:created>
  <dcterms:modified xsi:type="dcterms:W3CDTF">2025-11-07T13:24:00Z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590f3347-9ac6-4062-89aa-34e801b80485</vt:lpwstr>
  </property>
  <property fmtid="{D5CDD505-2E9C-101B-9397-08002B2CF9AE}" pid="11" name="MediaServiceImageTags">
    <vt:lpwstr/>
  </property>
  <property fmtid="{D5CDD505-2E9C-101B-9397-08002B2CF9AE}" pid="12" name="GrammarlyDocumentId">
    <vt:lpwstr>cc0e3c84261e927fc1ab4713e39cac634de0cedbea6aac8de0a37f9052243c3d</vt:lpwstr>
  </property>
</Properties>
</file>